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2026-07-28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9</w:t>
      </w:r>
    </w:p>
    <w:p/>
    <w:p>
      <w:pPr>
        <w:pStyle w:val="Heading2"/>
      </w:pPr>
      <w:r>
        <w:t>PORTARIA CGAUT/SUSEP nº 105, de 27 de JULHO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42</w:t>
      </w:r>
    </w:p>
    <w:p/>
    <w:p>
      <w:r>
        <w:t>PORTARIA CGAUT/SUSEP nº 105, de 27 de JULHO de 2026</w:t>
      </w:r>
    </w:p>
    <w:p>
      <w:r>
        <w:t>O COORDENADOR-GERAL SUBSTITUTO DA COORDENAÇÃO-GERAL DE AUTORIZAÇÕES DA SUPERINTENDÊNCIA DE SEGUROS PRIVADOS - CGAUT, no uso da competência subdelegada pelo Superintendente da Susep, por meio da Portaria nº 8.186, de 21 de julho de 2023, tendo em vista o disposto no inciso I do artigo 36 do Decreto-Lei nº 73, de 21 de novembro de 1966, combinado com o parágrafo 2º do artigo 3º do Decreto-Lei nº 261, de 28 de fevereiro de 1967, com base no inciso I do artigo 5º da Resolução CNSP nº 422, de 11 de novembro de 2021, e o que consta do processo Susep nº 15414.621585/2026-59, resolve:</w:t>
      </w:r>
    </w:p>
    <w:p>
      <w:r>
        <w:t>Art. 1º Ficam homologadas as seguintes deliberações tomadas pelo acionista único de APLICAP CAPITALIZAÇÃO S.A., CNPJ nº 13.122.801/0001-71, com sede na cidade de Porto Alegre - RS, nas assembleias gerais ordinária e extraordinária realizadas cumulativamente em 31 de março de 2026:</w:t>
      </w:r>
    </w:p>
    <w:p>
      <w:r>
        <w:t>I - aumento do capital social em R$ 5.600.000,00, elevando-o para R$ 20.000.000,00, dividido em 15.450.717 ações ordinárias, nominativas e sem valor nominal; e</w:t>
      </w:r>
    </w:p>
    <w:p>
      <w:r>
        <w:t>II - reforma e consolidação do estatuto social.</w:t>
      </w:r>
    </w:p>
    <w:p>
      <w:r>
        <w:t>Art. 2º Esta portaria entra em vigor na data de sua publicação.</w:t>
      </w:r>
    </w:p>
    <w:p>
      <w:r>
        <w:t>MAURO WIZENBERG</w:t>
      </w:r>
    </w:p>
    <w:p>
      <w:r>
        <w:br w:type="page"/>
      </w:r>
    </w:p>
    <w:p>
      <w:pPr>
        <w:pStyle w:val="Heading2"/>
      </w:pPr>
      <w:r>
        <w:t>PORTARIA CGAUT/SUSEP nº 106, de 27 de JULHO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42</w:t>
      </w:r>
    </w:p>
    <w:p/>
    <w:p>
      <w:r>
        <w:t>PORTARIA CGAUT/SUSEP nº 106, de 27 de JULHO de 2026</w:t>
      </w:r>
    </w:p>
    <w:p>
      <w:r>
        <w:t>O COORDENADOR-GERAL SUBSTITUTO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 base no inciso V do artigo 5º da Resolução CNSP nº 422, de 11 de novembro de 2021, e o que consta do processo Susep nº 15414.620547/2026-89, resolve:</w:t>
      </w:r>
    </w:p>
    <w:p>
      <w:r>
        <w:t>Art. 1º Fica homologada a eleição de administrador de FAIRWAY SEGUROS S.A., CNPJ nº 09.064.453/0001-56, com sede na cidade de São Paulo - SP, conforme deliberado nas assembleias gerais extraordinárias realizadas em 1º de abril de 2026 e 18 de maio de 2026.</w:t>
      </w:r>
    </w:p>
    <w:p>
      <w:r>
        <w:t>Art. 2º Esta portaria entra em vigor na data de sua publicação.</w:t>
      </w:r>
    </w:p>
    <w:p>
      <w:r>
        <w:t>MAURO WIZENBERG</w:t>
      </w:r>
    </w:p>
    <w:p>
      <w:r>
        <w:br w:type="page"/>
      </w:r>
    </w:p>
    <w:p>
      <w:pPr>
        <w:pStyle w:val="Heading2"/>
      </w:pPr>
      <w:r>
        <w:t>PORTARIA CGAUT/SUSEP nº 107, de 27 de JULHO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42</w:t>
      </w:r>
    </w:p>
    <w:p/>
    <w:p>
      <w:r>
        <w:t>PORTARIA CGAUT/SUSEP nº 107, de 27 de JULHO de 2026</w:t>
      </w:r>
    </w:p>
    <w:p>
      <w:r>
        <w:t>O COORDENADOR-GERAL SUBSTITUTO DA COORDENAÇÃO-GERAL DE AUTORIZAÇÕES DA SUPERINTENDÊNCIA DE SEGUROS PRIVADOS - CGAUT, no uso da competência subdelegada pelo Superintendente da Susep, por meio da Portaria nº 8.186, de 21 de julho de 2023, tendo em vista o disposto no inciso I do artigo 36 do Decreto-Lei nº 73, de 21 de novembro de 1966, com base nos incisos I e V do artigo 5º da Resolução CNSP nº 422, de 11 de novembro de 2021, e o que consta do processo Susep nº 15414.623476/2026-76, resolve:</w:t>
      </w:r>
    </w:p>
    <w:p>
      <w:r>
        <w:t>Art. 1º Ficam homologadas as seguintes deliberações tomadas pelo acionista único de CAIXA SEGURADORA S.A., CNPJ nº 34.020.354/0001-10, com sede na cidade de Brasília - DF, nas assembleias gerais ordinária e extraordinária realizadas cumulativamente em 31 de março de 2026:</w:t>
      </w:r>
    </w:p>
    <w:p>
      <w:r>
        <w:t>I - eleição de membros do conselho fiscal;</w:t>
      </w:r>
    </w:p>
    <w:p>
      <w:r>
        <w:t>II - aumento de capital social em R$ 150.000.000,00, elevando-o para R$ 1.587.000.000,00, dividido em 8.465.054 ações ordinárias, nominativas e sem valor nominal; e</w:t>
      </w:r>
    </w:p>
    <w:p>
      <w:r>
        <w:t>III - reforma e consolidação do estatuto social.</w:t>
      </w:r>
    </w:p>
    <w:p>
      <w:r>
        <w:t>Art. 2º Esta portaria entra em vigor na data de sua publicação.</w:t>
      </w:r>
    </w:p>
    <w:p>
      <w:r>
        <w:t>MAURO WIZENBERG</w:t>
      </w:r>
    </w:p>
    <w:p>
      <w:r>
        <w:br w:type="page"/>
      </w:r>
    </w:p>
    <w:p>
      <w:pPr>
        <w:pStyle w:val="Heading2"/>
      </w:pPr>
      <w:r>
        <w:t>Portaria Previc Nº 544, DE 17 DE julho DE 2026</w:t>
      </w:r>
    </w:p>
    <w:p>
      <w:r>
        <w:t>Categoria: Ministério da Previdência Social/Superintendência Nacional de Previdência Complementar/Diretoria de Licenciamento</w:t>
      </w:r>
    </w:p>
    <w:p>
      <w:r>
        <w:t>Página: 57</w:t>
      </w:r>
    </w:p>
    <w:p/>
    <w:p>
      <w:r>
        <w:t>Portaria Previc Nº 544, DE 17 DE julho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44011.001018/2026-12, resolve:</w:t>
      </w:r>
    </w:p>
    <w:p>
      <w:r>
        <w:t>Art.1º Aprovar as alterações propostas ao regulamento do Plano de Benefícios ISBREPREV, CNPB nº 2024.0005-92, administrado pela Fundação BRDE Previdência Complementar - ISBRE, CNPJ nº 89.172.084/0001-54.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561, DE 22 DE julho DE 2026</w:t>
      </w:r>
    </w:p>
    <w:p>
      <w:r>
        <w:t>Categoria: Ministério da Previdência Social/Superintendência Nacional de Previdência Complementar/Diretoria de Licenciamento</w:t>
      </w:r>
    </w:p>
    <w:p>
      <w:r>
        <w:t>Página: 57</w:t>
      </w:r>
    </w:p>
    <w:p/>
    <w:p>
      <w:r>
        <w:t>Portaria Previc Nº 561, DE 22 DE julho DE 2026</w:t>
      </w:r>
    </w:p>
    <w:p>
      <w:r>
        <w:t>O DIRETOR DE LICENCIAMENTO, no uso das atribuições que lhe confere as alíneas "c" e "d" do inciso I do art. 66 da Portaria nº 861, de 09 de Outubro de 2024 (Regimento Interno da Superintendência Nacional de Previdência Complementar - Previc), e considerando as manifestações técnicas exaradas no Processo nº 44011.010194/2025-64, resolve:</w:t>
      </w:r>
    </w:p>
    <w:p>
      <w:r>
        <w:t>Art. 1º Aprovar o Regulamento do Plano Instituído PRESENCE, sob o CNPB nº 2026.0003-11, a ser administrado pela Fundação de Seguridade Social Braslight, CNPJ nº 42.334.144/0001-24, e fixar o prazo de 180 (cento e oitenta) dias para que a entidade fechada de previdência complementar comunique o início de funcionamento do plano à Previc.</w:t>
      </w:r>
    </w:p>
    <w:p>
      <w:r>
        <w:t>Art. 2 º Aprovar o Termo de Adesão da Fundação de Seguridade Social Braslight ao Plano Instituído PRESENCE.</w:t>
      </w:r>
    </w:p>
    <w:p>
      <w:r>
        <w:t>Art. 3º Esta Portaria entra em vigor na data de sua publicação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562, DE 22 DE julho DE 2026</w:t>
      </w:r>
    </w:p>
    <w:p>
      <w:r>
        <w:t>Categoria: Ministério da Previdência Social/Superintendência Nacional de Previdência Complementar/Diretoria de Licenciamento</w:t>
      </w:r>
    </w:p>
    <w:p>
      <w:r>
        <w:t>Página: 57</w:t>
      </w:r>
    </w:p>
    <w:p/>
    <w:p>
      <w:r>
        <w:t>Portaria Previc Nº 562, DE 22 DE julho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44011.013445/2025-62, resolve:</w:t>
      </w:r>
    </w:p>
    <w:p>
      <w:r>
        <w:t>Art.1º Aprovar as alterações propostas ao regulamento do Plano de Benefícios Lufthansa, CNPB nº 1989.0012-38, administrado pelo Icatu Fundo Multipatrocinado, CNPJ nº 01.129.017/0001-06.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565, DE 23 DE julho DE 2026</w:t>
      </w:r>
    </w:p>
    <w:p>
      <w:r>
        <w:t>Categoria: Ministério da Previdência Social/Superintendência Nacional de Previdência Complementar/Diretoria de Licenciamento</w:t>
      </w:r>
    </w:p>
    <w:p>
      <w:r>
        <w:t>Página: 57</w:t>
      </w:r>
    </w:p>
    <w:p/>
    <w:p>
      <w:r>
        <w:t>Portaria Previc Nº 565, DE 23 DE julho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44011.013507/2025-36, resolve:</w:t>
      </w:r>
    </w:p>
    <w:p>
      <w:r>
        <w:t>Art.1º Aprovar as alterações propostas ao regulamento do Plano de Benefícios PREV MATTEL, CNPB nº 2006.0032-83, administrado pelo Multiprev - Fundo Múltiplo de Pensão, CNPJ nº 67.846.188/0001-64.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PAUTA DE JULGAMENTOS</w:t>
      </w:r>
    </w:p>
    <w:p>
      <w:r>
        <w:t>Categoria: Banco Central do Brasil/Conselho de Controle de Atividades Financeiras</w:t>
      </w:r>
    </w:p>
    <w:p>
      <w:r>
        <w:t>Página: 126</w:t>
      </w:r>
    </w:p>
    <w:p/>
    <w:p>
      <w:r>
        <w:t>PAUTA DE JULGAMENTOS</w:t>
      </w:r>
    </w:p>
    <w:p>
      <w:r>
        <w:t>PROCESSOS ADMINISTRATIVOS SANCIONADORES</w:t>
      </w:r>
    </w:p>
    <w:p>
      <w:r>
        <w:t>Processos incluídos na pauta da 99ª Sessão de Julgamento do Plenário do Conselho de Controle de Atividades Financeiras (COAF) marcada para realizar-se em 4 de agosto de 2026, por videoconferência, a partir das 9h30 (nove horas e trinta minutos), facultada às partes interessadas, bem como a seus representantes e procuradores, na forma em que foram intimados, a participação remota ou mediante comparecimento à sede do COAF, situada no Setor de Clubes Esportivos Sul (SCES), Trecho 2, Conjunto 31, Lotes 1A/1B, 2º andar do Edifício Universidade Banco Central (UniBC) - CEP 70200-002 - Brasília/DF:</w:t>
      </w:r>
    </w:p>
    <w:p>
      <w:r>
        <w:t>1. Processo Administrativo Sancionador nº 11893.100860/2021-94</w:t>
      </w:r>
    </w:p>
    <w:p>
      <w:r>
        <w:t>FCA Fiat Chrysler Automóveis Brasil Ltda. (atual Stellantis Automóveis Brasil Ltda.), CNPJ 16.701.716/0001-56;</w:t>
      </w:r>
    </w:p>
    <w:p>
      <w:r>
        <w:t>Aldo Marangoni, CPF ***.713.***-35;</w:t>
      </w:r>
    </w:p>
    <w:p>
      <w:r>
        <w:t>Antônio Filosa, CPF ***.024.***-71;</w:t>
      </w:r>
    </w:p>
    <w:p>
      <w:r>
        <w:t>Carlos Eugenio Fonseca Dutra, CPF ***.961.***-91;</w:t>
      </w:r>
    </w:p>
    <w:p>
      <w:r>
        <w:t>Claudio Demaria, CPF ***.106.***-65;</w:t>
      </w:r>
    </w:p>
    <w:p>
      <w:r>
        <w:t>Davide Mele, CPF ***.878.***-22;</w:t>
      </w:r>
    </w:p>
    <w:p>
      <w:r>
        <w:t>Emanuele Cappellano, CPF ***.371.***-46;</w:t>
      </w:r>
    </w:p>
    <w:p>
      <w:r>
        <w:t>Erica Baldini, CPF ***.980.***-71;</w:t>
      </w:r>
    </w:p>
    <w:p>
      <w:r>
        <w:t>Francesco Abbruzzesi, CPF ***.993.***-90;</w:t>
      </w:r>
    </w:p>
    <w:p>
      <w:r>
        <w:t>Francesco Ciancia, CPF ***.120.***-06;</w:t>
      </w:r>
    </w:p>
    <w:p>
      <w:r>
        <w:t>Geraldo Barra Rocha, CPF ***.899.***-73;</w:t>
      </w:r>
    </w:p>
    <w:p>
      <w:r>
        <w:t>Gilson de Oliveira Carvalho, CPF ***.255.***-66;</w:t>
      </w:r>
    </w:p>
    <w:p>
      <w:r>
        <w:t>Herlander Zola dos Santos, CPF ***.307.***-11;</w:t>
      </w:r>
    </w:p>
    <w:p>
      <w:r>
        <w:t>João Eduardo Laranjo Alves Ferreira, CPF ***.754.***-89;</w:t>
      </w:r>
    </w:p>
    <w:p>
      <w:r>
        <w:t>João Irineu Medeiros, CPF ***.515.***-20;</w:t>
      </w:r>
    </w:p>
    <w:p>
      <w:r>
        <w:t>Luís Roberto Santamaria, CPF ***.021.***-01;</w:t>
      </w:r>
    </w:p>
    <w:p>
      <w:r>
        <w:t>Marcio de Lima Leite, CPF ***.263.***-53;</w:t>
      </w:r>
    </w:p>
    <w:p>
      <w:r>
        <w:t>Marcio Henrique Tonani, CPF ***.912.***-78;</w:t>
      </w:r>
    </w:p>
    <w:p>
      <w:r>
        <w:t>Mario Graziano Borio, CPF ***.124.***-07;</w:t>
      </w:r>
    </w:p>
    <w:p>
      <w:r>
        <w:t>Mauro Francesco Pino, CPF ***.265.***-46;</w:t>
      </w:r>
    </w:p>
    <w:p>
      <w:r>
        <w:t>Pierluigi Astorino, CPF ***.976.***-00;</w:t>
      </w:r>
    </w:p>
    <w:p>
      <w:r>
        <w:t>Richard Christian Schwarzwald, CPF ***.531.***-78;</w:t>
      </w:r>
    </w:p>
    <w:p>
      <w:r>
        <w:t>Sergio Ferreira dos Santos, CPF ***.425.***-15;</w:t>
      </w:r>
    </w:p>
    <w:p>
      <w:r>
        <w:t>Stefan Ketter, CPF ***.839.***-01; e</w:t>
      </w:r>
    </w:p>
    <w:p>
      <w:r>
        <w:t>Tania Paula Pereira Inácio Silvestri, CPF ***.247.***-32.</w:t>
      </w:r>
    </w:p>
    <w:p>
      <w:r>
        <w:t>Relator: Raniere Rocha Lins</w:t>
      </w:r>
    </w:p>
    <w:p>
      <w:r>
        <w:t>Procurador: Thiago Luís Sombra, OAB/DF nº 22.631</w:t>
      </w:r>
    </w:p>
    <w:p>
      <w:r>
        <w:t>2. Processo Administrativo Sancionador nº 11893.100708/2022-92</w:t>
      </w:r>
    </w:p>
    <w:p>
      <w:r>
        <w:t>Florença Veículos S.A., CNPJ 77.968.980/0001-45;</w:t>
      </w:r>
    </w:p>
    <w:p>
      <w:r>
        <w:t>Marcelo Pizani, CPF ***.607.***-68;</w:t>
      </w:r>
    </w:p>
    <w:p>
      <w:r>
        <w:t>Silvia Cristina Bassani, CPF ***.854.***-72; e</w:t>
      </w:r>
    </w:p>
    <w:p>
      <w:r>
        <w:t>Gláucio José Geara, CPF ***.917.***-49.</w:t>
      </w:r>
    </w:p>
    <w:p>
      <w:r>
        <w:t>Relatora: Eveline Martins Brito</w:t>
      </w:r>
    </w:p>
    <w:p>
      <w:r>
        <w:t>Procuradora: Edrisa Costa Pereira, OAB/PR nº 39.900</w:t>
      </w:r>
    </w:p>
    <w:p>
      <w:r>
        <w:t>3. Processo Administrativo Sancionador nº 11893.100427/2023-11</w:t>
      </w:r>
    </w:p>
    <w:p>
      <w:r>
        <w:t>EZ Multimarcas Veículos Ltda., CNPJ 04.562.300/0001-15;</w:t>
      </w:r>
    </w:p>
    <w:p>
      <w:r>
        <w:t>Emílio Zanetic Vidulic Filho, CPF ***.360.***-19; e</w:t>
      </w:r>
    </w:p>
    <w:p>
      <w:r>
        <w:t>Fábio Zanetic Vidulic, CPF ***.862.***-95.</w:t>
      </w:r>
    </w:p>
    <w:p>
      <w:r>
        <w:t>Relatora: Eveline Martins Brito</w:t>
      </w:r>
    </w:p>
    <w:p>
      <w:r>
        <w:t>Procurador: Sávio Carmona de Lima, OAB/SP nº 236.489</w:t>
      </w:r>
    </w:p>
    <w:p>
      <w:r>
        <w:t>4. Processo Administrativo Sancionador nº 11893.000087/2024-18</w:t>
      </w:r>
    </w:p>
    <w:p>
      <w:r>
        <w:t>Safischer Design de Joias Ltda., CNPJ 16.715.264/0001-61;</w:t>
      </w:r>
    </w:p>
    <w:p>
      <w:r>
        <w:t>Paula Fischer Cavalcanti Rosauro de Almeida, CPF ***.142.***-65;</w:t>
      </w:r>
    </w:p>
    <w:p>
      <w:r>
        <w:t>Silvia Fischer, CPF ***.065.***-03; e</w:t>
      </w:r>
    </w:p>
    <w:p>
      <w:r>
        <w:t>Alice Fischer, CPF ***.898.***-72.</w:t>
      </w:r>
    </w:p>
    <w:p>
      <w:r>
        <w:t>Relator: Guilherme Ayres Jameli</w:t>
      </w:r>
    </w:p>
    <w:p>
      <w:r>
        <w:t>Procurador: não constituído nos autos</w:t>
      </w:r>
    </w:p>
    <w:p>
      <w:r>
        <w:t>5. Processo Administrativo Sancionador nº 11893.000019/2025-21</w:t>
      </w:r>
    </w:p>
    <w:p>
      <w:r>
        <w:t>Pena &amp; Mello Comércio e Exportação Ltda., CNPJ 22.503.284/0001-71; e</w:t>
      </w:r>
    </w:p>
    <w:p>
      <w:r>
        <w:t>Diego de Mello, CPF ***.740.***-46.</w:t>
      </w:r>
    </w:p>
    <w:p>
      <w:r>
        <w:t>Relator: Sérgio Djundi Taniguchi</w:t>
      </w:r>
    </w:p>
    <w:p>
      <w:r>
        <w:t>Procurador: Daruich Hammoud Júnior, OAB/PA nº 24.123-B</w:t>
      </w:r>
    </w:p>
    <w:p>
      <w:r>
        <w:t>6. Processo Administrativo Sancionador nº 11893.000119/2025-58</w:t>
      </w:r>
    </w:p>
    <w:p>
      <w:r>
        <w:t>Aliança Fomento Mercantil Ltda., CNPJ 05.347.503/0001-51;</w:t>
      </w:r>
    </w:p>
    <w:p>
      <w:r>
        <w:t>Giuseppe Uslenghi, CPF ***.625.***-37; e</w:t>
      </w:r>
    </w:p>
    <w:p>
      <w:r>
        <w:t>Rosa Maria de Moraes, CPF ***.367.***-15.</w:t>
      </w:r>
    </w:p>
    <w:p>
      <w:r>
        <w:t>Relator: Marcus Vinícius de Carvalho</w:t>
      </w:r>
    </w:p>
    <w:p>
      <w:r>
        <w:t>Procuradora: Juliane Teixeira Milani, OAB/PR nº 70.719</w:t>
      </w:r>
    </w:p>
    <w:p>
      <w:r>
        <w:t>7. Processo Administrativo Sancionador nº 11893.000152/2025-88</w:t>
      </w:r>
    </w:p>
    <w:p>
      <w:r>
        <w:t>CJ Loans Fomento Mercantil Factoring Eireli (atual SHC Entretenimento Publicidade e Conteúdos Digitais Ltda.) CNPJ 32.837.212/0001-14; e</w:t>
      </w:r>
    </w:p>
    <w:p>
      <w:r>
        <w:t>Hyun Mi Cho Chung, CPF ***.962.***-02.</w:t>
      </w:r>
    </w:p>
    <w:p>
      <w:r>
        <w:t>Relator: Sérgio Luiz Messias de Lima</w:t>
      </w:r>
    </w:p>
    <w:p>
      <w:r>
        <w:t>Procurador: não constituído nos autos</w:t>
      </w:r>
    </w:p>
    <w:p>
      <w:r>
        <w:t>Brasília, 22 de julho de 2026</w:t>
      </w:r>
    </w:p>
    <w:p>
      <w:r>
        <w:t>RICARDO ANDRADE SAADI</w:t>
      </w:r>
    </w:p>
    <w:p>
      <w:r>
        <w:t>Presidente do Conselho</w:t>
      </w:r>
    </w:p>
    <w:p>
      <w:r>
        <w:br w:type="page"/>
      </w:r>
    </w:p>
    <w:p>
      <w:pPr>
        <w:pStyle w:val="Heading2"/>
      </w:pPr>
      <w:r>
        <w:t>INSTRUÇÃO NORMATIVA COAF Nº 1, DE 16 DE JULHO DE 2026</w:t>
      </w:r>
    </w:p>
    <w:p>
      <w:pPr>
        <w:pStyle w:val="ListBullet"/>
      </w:pPr>
      <w:r>
        <w:t>Ementa: Divulga instruções complementares para o cumprimento de deveres estabelecidos pelo Conselho de Controle de Atividades Financeiras - Coaf por parte daqueles que, na forma do § 1º do art. 14 da Lei nº 9.613, de 3 de março de 1998, se sujeitam à sua supervisão nos termos da sua Resolução nº 36, de 10 de março de 2021, referente à adoção de políticas, procedimentos e controles internos de prevenção à lavagem de dinheiro, ao financiamento do terrorismo e ao financiamento da proliferação de armas de destruição em massa.</w:t>
      </w:r>
    </w:p>
    <w:p>
      <w:r>
        <w:t>Categoria: Banco Central do Brasil/Conselho de Controle de Atividades Financeiras</w:t>
      </w:r>
    </w:p>
    <w:p>
      <w:r>
        <w:t>Página: 125</w:t>
      </w:r>
    </w:p>
    <w:p/>
    <w:p>
      <w:r>
        <w:t>INSTRUÇÃO NORMATIVA COAF Nº 1, DE 16 DE JULHO DE 2026</w:t>
      </w:r>
    </w:p>
    <w:p>
      <w:r>
        <w:t>Divulga instruções complementares para o cumprimento de deveres estabelecidos pelo Conselho de Controle de Atividades Financeiras - Coaf por parte daqueles que, na forma do § 1º do art. 14 da Lei nº 9.613, de 3 de março de 1998, se sujeitam à sua supervisão nos termos da sua Resolução nº 36, de 10 de março de 2021, referente à adoção de políticas, procedimentos e controles internos de prevenção à lavagem de dinheiro, ao financiamento do terrorismo e ao financiamento da proliferação de armas de destruição em massa.</w:t>
      </w:r>
    </w:p>
    <w:p>
      <w:r>
        <w:t>O PRESIDENTE DO CONSELHO DE CONTROLE DE ATIVIDADES FINANCEIRAS - COAF, no uso das atribuições que lhe conferem o inciso IX do art. 20 do Regimento Interno do Conselho de Controle de Atividades Financeiras - Coaf, anexo à Resolução nº 427, de 16 de outubro de 2024, da Diretoria Colegiada do Banco Central do Brasil - BCB, e tendo em vista o disposto nos arts. 10, 11 e 14, § 1º, da Lei nº 9.613, de 3 de março de 1998, arts. 2º e 6º da Resolução Coaf nº 36, de 10 de março de 2021, arts. 6º e 17 da Resolução Coaf nº 41, de 8 de agosto de 2022, resolve:</w:t>
      </w:r>
    </w:p>
    <w:p>
      <w:r>
        <w:t>Art. 1º Esta Instrução Normativa estabelece instruções complementares para o cumprimento de deveres estabelecidos pelo Conselho de Controle de Atividades Financeiras - Coaf nos termos da Resolução Coaf nº 36, de 10 de março de 2021, e da Resolução Coaf nº 41, de 8 de agosto de 2022 para aqueles que, na forma do § 1º do art. 14 da Lei, se sujeitam à sua supervisão.</w:t>
      </w:r>
    </w:p>
    <w:p>
      <w:r>
        <w:t>Art. 2º Para efeito de cumprimento do disposto nos arts. 2º, § 1º, I, alínea "c", e 6º, § 3º, da Resolução Coaf nº 36, de 2021, e nos arts. 6º, § 3º, e 17, parágrafo único, III, da Resolução Coaf nº 41, de 2022, estão sujeitas às medidas de devida diligência reforçada as operações e transações que envolvam:</w:t>
      </w:r>
    </w:p>
    <w:p>
      <w:r>
        <w:t>I - pessoas físicas ou jurídicas estabelecidas, domiciliadas ou constituídas em jurisdições identificadas pelo Grupo de Ação Financeira - GAFI como de alto risco, não cooperantes ou com deficiências relevantes nos regimes de prevenção à lavagem de dinheiro e ao financiamento do terrorismo e da proliferação de armas de destruição em massa - PLD/FTP;</w:t>
      </w:r>
    </w:p>
    <w:p>
      <w:r>
        <w:t>II - instituições financeiras, inclusive estrangeiras, localizadas em jurisdições enquadradas no inciso I;</w:t>
      </w:r>
    </w:p>
    <w:p>
      <w:r>
        <w:t>III - estruturas societárias, cadeias de controle, beneficiários finais ou representantes que estejam direta ou indiretamente vinculados a tais jurisdições;</w:t>
      </w:r>
    </w:p>
    <w:p>
      <w:r>
        <w:t>IV - qualquer outra situação classificada como de alto risco, nos termos de instruções expedidas pelo Plenário do Coaf.</w:t>
      </w:r>
    </w:p>
    <w:p>
      <w:r>
        <w:t>§ 1º As medidas de devida diligência reforçada a que se refere o caput devem incluir, no mínimo:</w:t>
      </w:r>
    </w:p>
    <w:p>
      <w:r>
        <w:t>I - obtenção e verificação de informações adicionais sobre a identidade do cliente, do beneficiário final, de estrutura societária e de fonte de recursos e de patrimônio;</w:t>
      </w:r>
    </w:p>
    <w:p>
      <w:r>
        <w:t>II - monitoramento contínuo e reforçado das operações e transações, com maior frequência e profundidade;</w:t>
      </w:r>
    </w:p>
    <w:p>
      <w:r>
        <w:t>III - documentação formal e rastreável das análises realizadas, das decisões tomadas e das medidas adotadas;</w:t>
      </w:r>
    </w:p>
    <w:p>
      <w:r>
        <w:t>IV - aprovação do nível hierárquico superior ao ordinariamente aplicado para o tipo de operação ou transação a ser realizada.</w:t>
      </w:r>
    </w:p>
    <w:p>
      <w:r>
        <w:t>Art. 3º Para as situações mencionadas no art. 2º, o Plenário do Coaf poderá determinar a adoção de medidas a adicionais, quando:</w:t>
      </w:r>
    </w:p>
    <w:p>
      <w:r>
        <w:t>I - solicitado expressamente pelo Gafi; ou</w:t>
      </w:r>
    </w:p>
    <w:p>
      <w:r>
        <w:t>II - identificado risco elevado à integridade do sistema de PLD/FTP, independentemente de solicitação expressa do Gafi.</w:t>
      </w:r>
    </w:p>
    <w:p>
      <w:r>
        <w:t>§ 1º As medidas adicionais a que se refere o caput podem incluir, entre outras:</w:t>
      </w:r>
    </w:p>
    <w:p>
      <w:r>
        <w:t>I - restrições ou condições adicionais para o estabelecimento de relações de negócios;</w:t>
      </w:r>
    </w:p>
    <w:p>
      <w:r>
        <w:t>II - limitação, postergação ou recusa de determinadas operações ou produtos;</w:t>
      </w:r>
    </w:p>
    <w:p>
      <w:r>
        <w:t>III - exigência de informações ou comprovações adicionais;</w:t>
      </w:r>
    </w:p>
    <w:p>
      <w:r>
        <w:t>IV - encerramento de relações de negócios quando os riscos forem considerados inaceitáveis e não mitigáveis.</w:t>
      </w:r>
    </w:p>
    <w:p>
      <w:r>
        <w:t>Art. 4º O Coaf divulga a lista de países listados pelo Gafi por meio de Informativo veiculado pelo Sistema de Controle de Atividades Financeiras - Siscoaf.</w:t>
      </w:r>
    </w:p>
    <w:p>
      <w:r>
        <w:t>Art. 5º Esta Instrução Normativa entra em vigor em 3 de agosto de 2026.</w:t>
      </w:r>
    </w:p>
    <w:p>
      <w:r>
        <w:t>JULIANA PETRIBÚ GORENSTEIN</w:t>
      </w:r>
    </w:p>
    <w:p>
      <w:r>
        <w:t>Substituta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