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2026-08-20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8</w:t>
      </w:r>
    </w:p>
    <w:p/>
    <w:p>
      <w:pPr>
        <w:pStyle w:val="Heading2"/>
      </w:pPr>
      <w:r>
        <w:t>RESOLUÇÃO SUSEP Nº 90, DE 18 DE AGOSTO DE 2026</w:t>
      </w:r>
    </w:p>
    <w:p>
      <w:pPr>
        <w:pStyle w:val="ListBullet"/>
      </w:pPr>
      <w:r>
        <w:t>Ementa: Altera a Circular Susep nº 638, de 27 de julho de 2021.</w:t>
      </w:r>
    </w:p>
    <w:p>
      <w:r>
        <w:t>Categoria: Ministério da Fazenda/Superintendência de Seguros Privados</w:t>
      </w:r>
    </w:p>
    <w:p>
      <w:r>
        <w:t>Página: 33</w:t>
      </w:r>
    </w:p>
    <w:p/>
    <w:p>
      <w:r>
        <w:t>RESOLUÇÃO SUSEP Nº 90, DE 18 DE AGOSTO DE 2026</w:t>
      </w:r>
    </w:p>
    <w:p>
      <w:r>
        <w:t>Altera a Circular Susep nº 638, de 27 de julho de 2021.</w:t>
      </w:r>
    </w:p>
    <w:p>
      <w:r>
        <w:t>O SUPERINTENDENTE DA SUPERINTENDÊNCIA DE SEGUROS PRIVADOS - SUSEP, torna público que o Conselho Diretor desta Autarquia, em reunião ordinária realizada em 12 de agosto de 2026, no uso das atribuições que lhe conferem o art. 36, incisos II, do Decreto-Lei nº 73, de 21 de novembro de 1966, o art. 3º, parágrafo único, da Lei Complementar nº 126, de 15 de janeiro de 2007, o art. 3º, § 2º, do Decreto-Lei nº 261, de 28 de fevereiro de 1967, e o art. 74 da Lei Complementar nº 109, de 29 de maio de 2001, e considerando o que consta do Processo Susep nº 15414.625907/2026-39, resolve:</w:t>
      </w:r>
    </w:p>
    <w:p>
      <w:r>
        <w:t>Art. 1° A Circular Susep nº 638, de 27 de julho de 2021, passa a vigorar com as seguintes alterações:</w:t>
      </w:r>
    </w:p>
    <w:p>
      <w:r>
        <w:t>"Art. 10 .......................................................................</w:t>
      </w:r>
    </w:p>
    <w:p>
      <w:r>
        <w:t>.....................................................................................</w:t>
      </w:r>
    </w:p>
    <w:p>
      <w:r>
        <w:t>III - assegurar que os contratos, incluindo alterações e aditivos, estejam acessíveis quando solicitados pela Susep.</w:t>
      </w:r>
    </w:p>
    <w:p>
      <w:r>
        <w:t>Parágrafo único. A acessibilidade de que trata o inciso III inclui manter arquivados e apresentar à Susep, sempre que solicitadas, as informações e os documentos necessários à avaliação do serviço, dos riscos envolvidos e da conformidade com a regulamentação aplicável." (NR)</w:t>
      </w:r>
    </w:p>
    <w:p>
      <w:r>
        <w:t>Art. 2° Esta Resolução entra em vigor na data de sua publicação.</w:t>
      </w:r>
    </w:p>
    <w:p>
      <w:r>
        <w:t>ALESSANDRO SERAFIN OCTAVIANI LUIS</w:t>
      </w:r>
    </w:p>
    <w:p>
      <w:r>
        <w:br w:type="page"/>
      </w:r>
    </w:p>
    <w:p>
      <w:pPr>
        <w:pStyle w:val="Heading2"/>
      </w:pPr>
      <w:r>
        <w:t>PORTARIA CGCCR/SUSEP nº 27, de 18 de AGOSTO de 2026</w:t>
      </w:r>
    </w:p>
    <w:p>
      <w:r>
        <w:t>Categoria: Ministério da Fazenda/Superintendência de Seguros Privados/Diretoria de Organização de Mercado e Regulação de Conduta/Coordenação-Geral de Credenciamentos, Cadastros e Regimes Especiais</w:t>
      </w:r>
    </w:p>
    <w:p>
      <w:r>
        <w:t>Página: 34</w:t>
      </w:r>
    </w:p>
    <w:p/>
    <w:p>
      <w:r>
        <w:t>PORTARIA CGCCR/SUSEP nº 27, de 18 de AGOSTO de 2026</w:t>
      </w:r>
    </w:p>
    <w:p>
      <w:r>
        <w:t>O COORDENADOR-GERAL DA COORDENAÇÃO-GERAL DE CREDENCIAMENTOS, CADASTROS E REGIMES ESPECIAIS DA SUPERINTENDÊNCIA DE SEGUROS PRIVADOS - SUSEP, no uso da competência delegada pelo Superintendente da Susep, por meio da Portaria Susep nº 8.186, de 21 de julho de 2023, c/c a Resolução CNSP n° 490, de 12 de março de 2026, Resolução SUSEP nº 82, de 26 de março de 2026 e tendo em vista o disposto no inciso III do art. 4º da Lei Complementar nº 126, de 15 de janeiro de 2007, no inciso II do art. 5º, no §2º do art. 26 e no §7º do art. 28, todos da Resolução CNSP nº 422, de 11 de novembro de 2021, e o que consta do processo Susep nº 15414.636772/2025-56, resolve:</w:t>
      </w:r>
    </w:p>
    <w:p>
      <w:r>
        <w:t>Art.1° Fica homologada a atualização cadastral anual de 2025 de AXA XL INSURANCE COMPANY UK LIMITED, atual denominação de XL CATLIN INSURANCE COMPANY UK LIMITED, sociedade organizada e constituída segundo as leis da Inglaterra e País de Gales, cadastrada junto à SUSEP como Resseguradora Eventual, nos termos da Portaria SUSEPN.º 28, de 30 de março de 2021.</w:t>
      </w:r>
    </w:p>
    <w:p>
      <w:r>
        <w:t>Art. 2º Fica ratificado que o Sr. Renato José Sant'Anna Rosa e a Sra. Thisiani Gisele Matsumura Martins exercem a função de procuradores do Ressegurador.</w:t>
      </w:r>
    </w:p>
    <w:p>
      <w:r>
        <w:t>Art. 3º Esta portaria entra em vigor na data de sua publicação.</w:t>
      </w:r>
    </w:p>
    <w:p>
      <w:r>
        <w:t>JONAS DOS SANTOS SOUSA</w:t>
      </w:r>
    </w:p>
    <w:p>
      <w:r>
        <w:br w:type="page"/>
      </w:r>
    </w:p>
    <w:p>
      <w:pPr>
        <w:pStyle w:val="Heading2"/>
      </w:pPr>
      <w:r>
        <w:t>PORTARIA CGAUT/SUSEP nº 153, de 19 de AGOSTO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34</w:t>
      </w:r>
    </w:p>
    <w:p/>
    <w:p>
      <w:r>
        <w:t>PORTARIA CGAUT/SUSEP nº 153, de 19 de AGOSTO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15414.620956/2026-85, resolve:</w:t>
      </w:r>
    </w:p>
    <w:p>
      <w:r>
        <w:t>Art. Fica homologada a destituição de administradores de ITAÚ VIDA E PREVIDÊNCIA S.A., CNPJ nº 92.661.388/0001-90, com sede na cidade de São Paulo - SP, conforme deliberado na assembleia geral extraordinária realizada em 19 de março de 2026 e nas assembleias gerais ordinária e extraordinária realizadas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INSTRUÇÃO NORMATIVA BCB Nº 769, DE 19 DE AGOSTO DE 2026</w:t>
      </w:r>
    </w:p>
    <w:p>
      <w:pPr>
        <w:pStyle w:val="ListBullet"/>
      </w:pPr>
      <w:r>
        <w:t>Ementa: Divulga a versão 2.10.0 do Manual de Padrões para Iniciação do Pix, que compõe o Regulamento do Pix..</w:t>
      </w:r>
    </w:p>
    <w:p>
      <w:r>
        <w:t>Categoria: Banco Central do Brasil/Área de Organização do Sistema Financeiro e de Resolução/Departamento de Competição e de Estrutura do Mercado Financeiro</w:t>
      </w:r>
    </w:p>
    <w:p>
      <w:r>
        <w:t>Página: 78</w:t>
      </w:r>
    </w:p>
    <w:p/>
    <w:p>
      <w:r>
        <w:t>INSTRUÇÃO NORMATIVA BCB Nº 769, DE 19 DE AGOSTO DE 2026</w:t>
      </w:r>
    </w:p>
    <w:p>
      <w:r>
        <w:t>Divulga a versão 2.10.0 do Manual de Padrões para Iniciação do Pix, que compõe o Regulamento do Pix..</w:t>
      </w:r>
    </w:p>
    <w:p>
      <w:r>
        <w:t>O Chefe do Departamento de Competição e de Estrutura do Mercado Financeiro (Decem), no uso das atribuições que lhe conferem os arts. 23, caput, inciso I, alínea "a", e 94, caput, inciso IX, do Regimento Interno do Banco Central do Brasil, anexo à Resolução BCB nº 340, de 21 de setembro de 2023, e tendo em vista o disposto no art. 2º, caput, inciso II, do Regulamento anexo à Resolução BCB nº 1, de 12 de agosto de 2020, resolve:</w:t>
      </w:r>
    </w:p>
    <w:p>
      <w:r>
        <w:t>Art. 1º Esta Instrução Normativa divulga a versão 2.10.0 do Manual de Padrões para Iniciação do Pix, que compõe o Regulamento do Pix, conforme art. 2º do Regulamento anexo à Resolução BCB nº 1, de 12 de agosto de 2020.</w:t>
      </w:r>
    </w:p>
    <w:p>
      <w:r>
        <w:t>Parágrafo único. O Manual de Padrões para Iniciação do Pix está disponível no endereço eletrônico do Banco Central do Brasil na internet, na página destinada aos manuais que compõem o Regulamento do Pix: https://www.bcb.gov.br/content/estabilidadefinanceira/pix/Regulamento_Pix/II_ManualdePadroesparaIniciacaodoPix.pdf.</w:t>
      </w:r>
    </w:p>
    <w:p>
      <w:r>
        <w:t>Art. 2º Fica revogada a Instrução Normativa BCB nº 658, de 5 de setembro de 2025.</w:t>
      </w:r>
    </w:p>
    <w:p>
      <w:r>
        <w:t>Art. 3º Esta Instrução Normativa entra em vigor na data de sua publicação.</w:t>
      </w:r>
    </w:p>
    <w:p>
      <w:r>
        <w:t>Ricardo Teixeira Leite Mourão</w:t>
      </w:r>
    </w:p>
    <w:p>
      <w:r>
        <w:t>ANEXO Manual de Padrões para Iniciação do Pix Versão 2.10.0</w:t>
      </w:r>
    </w:p>
    <w:p>
      <w:r>
        <w:t>Histórico de revisão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>
            <w:r>
              <w:t>Data</w:t>
            </w:r>
          </w:p>
        </w:tc>
        <w:tc>
          <w:tcPr>
            <w:tcW w:type="dxa" w:w="2880"/>
          </w:tcPr>
          <w:p>
            <w:r>
              <w:t>Versão</w:t>
            </w:r>
          </w:p>
        </w:tc>
        <w:tc>
          <w:tcPr>
            <w:tcW w:type="dxa" w:w="2880"/>
          </w:tcPr>
          <w:p>
            <w:r>
              <w:t>Descrição das alterações</w:t>
            </w:r>
          </w:p>
        </w:tc>
      </w:tr>
      <w:tr>
        <w:tc>
          <w:tcPr>
            <w:tcW w:type="dxa" w:w="2880"/>
          </w:tcPr>
          <w:p>
            <w:r>
              <w:t>11/8/2020</w:t>
            </w:r>
          </w:p>
        </w:tc>
        <w:tc>
          <w:tcPr>
            <w:tcW w:type="dxa" w:w="2880"/>
          </w:tcPr>
          <w:p>
            <w:r>
              <w:t>1.0</w:t>
            </w:r>
          </w:p>
        </w:tc>
        <w:tc>
          <w:tcPr>
            <w:tcW w:type="dxa" w:w="2880"/>
          </w:tcPr>
          <w:p>
            <w:r>
              <w:t>Versão inicial</w:t>
            </w:r>
          </w:p>
        </w:tc>
      </w:tr>
      <w:tr>
        <w:tc>
          <w:tcPr>
            <w:tcW w:type="dxa" w:w="2880"/>
          </w:tcPr>
          <w:p>
            <w:r>
              <w:t>23/9/2020</w:t>
            </w:r>
          </w:p>
        </w:tc>
        <w:tc>
          <w:tcPr>
            <w:tcW w:type="dxa" w:w="2880"/>
          </w:tcPr>
          <w:p>
            <w:r>
              <w:t>1.1</w:t>
            </w:r>
          </w:p>
        </w:tc>
        <w:tc>
          <w:tcPr>
            <w:tcW w:type="dxa" w:w="2880"/>
          </w:tcPr>
          <w:p>
            <w:r>
              <w:t>Ajustes nas definições nos campos do payload, especialmente na semântica do campo txid. Incluídos os Anexos I e II, tratando dos Conceitos de Negócio da API Pix e das suas especificações técnicas.</w:t>
            </w:r>
          </w:p>
        </w:tc>
      </w:tr>
      <w:tr>
        <w:tc>
          <w:tcPr>
            <w:tcW w:type="dxa" w:w="2880"/>
          </w:tcPr>
          <w:p>
            <w:r>
              <w:t>13/10/2020</w:t>
            </w:r>
          </w:p>
        </w:tc>
        <w:tc>
          <w:tcPr>
            <w:tcW w:type="dxa" w:w="2880"/>
          </w:tcPr>
          <w:p>
            <w:r>
              <w:t>2.0</w:t>
            </w:r>
          </w:p>
        </w:tc>
        <w:tc>
          <w:tcPr>
            <w:tcW w:type="dxa" w:w="2880"/>
          </w:tcPr>
          <w:p>
            <w:r>
              <w:t>Seção 1.5.2: incluídas explicações sobre caracteres permitidos no campo txid. Seção 1.6.1: incluído texto para deixar claro que o QR Code dinâmico pode ser gerado por meio de aplicativo. Seção 1.6.6: excluído texto para deixar claro que o QR Code dinâmico não precisa ser necessariamente gerado por meio da API Pix. Seção 1.6.8: ajuste na explicação do campo "calendario.vencimento" e exclusão do campo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"calendario.recebivelAposVencimento". Seção 1.6.17: inclusão de nota de rodapé no campo 62 "Additional Data Field". Seção 1.6.18: incluído texto para deixar claro que o QR Code dinâmico pode ser gerado por meio de aplicativo. Incluída a seção 1.7, que trata sobre a funcionalidade "Pix Copia e Cola". Seção 6.3.3 do Anexo I: correção da função associada à alteração da cobrança via API Pix.</w:t>
            </w:r>
          </w:p>
        </w:tc>
      </w:tr>
      <w:tr>
        <w:tc>
          <w:tcPr>
            <w:tcW w:type="dxa" w:w="2880"/>
          </w:tcPr>
          <w:p>
            <w:r>
              <w:t>6/11/2020</w:t>
            </w:r>
          </w:p>
        </w:tc>
        <w:tc>
          <w:tcPr>
            <w:tcW w:type="dxa" w:w="2880"/>
          </w:tcPr>
          <w:p>
            <w:r>
              <w:t>2.1</w:t>
            </w:r>
          </w:p>
        </w:tc>
        <w:tc>
          <w:tcPr>
            <w:tcW w:type="dxa" w:w="2880"/>
          </w:tcPr>
          <w:p>
            <w:r>
              <w:t>Seção 1.6: atualização dos campos do Payload JSON, com a inclusão de campos referentes às funcionalidades de cobrança para pagamentos com vencimento (juros, multa, abatimento, desconto e correlatos); reorganização das subseções para refletir as diferenças de campos entre as cobranças para pagamentos imediatos e pagamentos com vencimento; Adicionados ao Anexo I casos de uso relacionados ao "Reuso de Location", cenários incluindo cobrança para pagamentos com vencimento e geração de cobranças em lotes.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Inclusão do Anexo III tratando sobre criação, atualização e cálculo de cobranças para pagamentos com vencimento.</w:t>
            </w:r>
          </w:p>
        </w:tc>
      </w:tr>
      <w:tr>
        <w:tc>
          <w:tcPr>
            <w:tcW w:type="dxa" w:w="2880"/>
          </w:tcPr>
          <w:p>
            <w:r>
              <w:t>9/12/2020</w:t>
            </w:r>
          </w:p>
        </w:tc>
        <w:tc>
          <w:tcPr>
            <w:tcW w:type="dxa" w:w="2880"/>
          </w:tcPr>
          <w:p>
            <w:r>
              <w:t>2.2</w:t>
            </w:r>
          </w:p>
        </w:tc>
        <w:tc>
          <w:tcPr>
            <w:tcW w:type="dxa" w:w="2880"/>
          </w:tcPr>
          <w:p>
            <w:r>
              <w:t>Seção 1.6.6.2: inserção na tabela que exibe a estrutura do payload JSON para cobranças com vencimento da informação calendario.validadeAposVencimento. Anexo II - Seção 3.1: inserção de recomendação relativa ao uso de certificados nos webhooks.</w:t>
            </w:r>
          </w:p>
        </w:tc>
      </w:tr>
      <w:tr>
        <w:tc>
          <w:tcPr>
            <w:tcW w:type="dxa" w:w="2880"/>
          </w:tcPr>
          <w:p>
            <w:r>
              <w:t>12/2/2021</w:t>
            </w:r>
          </w:p>
        </w:tc>
        <w:tc>
          <w:tcPr>
            <w:tcW w:type="dxa" w:w="2880"/>
          </w:tcPr>
          <w:p>
            <w:r>
              <w:t>2.2.1</w:t>
            </w:r>
          </w:p>
        </w:tc>
        <w:tc>
          <w:tcPr>
            <w:tcW w:type="dxa" w:w="2880"/>
          </w:tcPr>
          <w:p>
            <w:r>
              <w:t>Seção 1.6.6.1: adicionada explicação para a regra de incrementos do campo. Seção 1.6.6.2: adicionados esclarecimentos sobre o funcionamento do campo calendário.validadeAposVencimento Seção 2.1: alterado de obrigatório para opcional o preenchimento dos campos logradouro, cidade, UF e CEP do campo "devedor" na criação de uma cobrança com vencimento. Seção 1.6.1: Excluído o trecho que erroneamente se referia a um possível valor "0" no campo de valor EMV.</w:t>
            </w:r>
          </w:p>
        </w:tc>
      </w:tr>
      <w:tr>
        <w:tc>
          <w:tcPr>
            <w:tcW w:type="dxa" w:w="2880"/>
          </w:tcPr>
          <w:p>
            <w:r>
              <w:t>22/3/2021</w:t>
            </w:r>
          </w:p>
        </w:tc>
        <w:tc>
          <w:tcPr>
            <w:tcW w:type="dxa" w:w="2880"/>
          </w:tcPr>
          <w:p>
            <w:r>
              <w:t>2.3.0</w:t>
            </w:r>
          </w:p>
        </w:tc>
        <w:tc>
          <w:tcPr>
            <w:tcW w:type="dxa" w:w="2880"/>
          </w:tcPr>
          <w:p>
            <w:r>
              <w:t>Seção 1.4: removidas notas de rodapé e adicionadas explicações para explicitar que a regra de formatação das chaves Pix segue as determinações constantes do Manual Operacional do DICT. Seção 1.6.3: removido o fragmento que indica a versão do location. Seção 1.6.6: ajuste redacional para esclarecer que o código do município a ser informado pelo PSP do pagador deve corresponder à informação cadastral de endereço do usuário pagador.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Seção 1.6.6.1: adicionado o campo modalidadeAlteracao no objeto "valor" para Pix Cobrança para pagamentos imediatos. Seção 1.6.6.2: inseridos esclarecimentos sobre o comportamento da data de vencimento e da validade após vencimento em caso de fim de semana e de feriado para o usuário pagador. Seção 1.6.7: exemplo revisado: valor (EMV, opcional) retirado; Ref.Label (txid) modificado (enfatiza que vale o payload da cobrança); fragmento 'v2' (tornado opcional) retirado da location (url da cobrança).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Anexo III: inseridos esclarecimentos sobre o comportamento da data de vencimento em caso de fim de semana e de feriado para o usuário pagador e sobre os consequentes impactos nos campos que façam referência a esta data (validadeAposVencimento; desconto; juros e multa).</w:t>
            </w:r>
          </w:p>
        </w:tc>
      </w:tr>
      <w:tr>
        <w:tc>
          <w:tcPr>
            <w:tcW w:type="dxa" w:w="2880"/>
          </w:tcPr>
          <w:p>
            <w:r>
              <w:t>22/7/2021</w:t>
            </w:r>
          </w:p>
        </w:tc>
        <w:tc>
          <w:tcPr>
            <w:tcW w:type="dxa" w:w="2880"/>
          </w:tcPr>
          <w:p>
            <w:r>
              <w:t>2.4.0</w:t>
            </w:r>
          </w:p>
        </w:tc>
        <w:tc>
          <w:tcPr>
            <w:tcW w:type="dxa" w:w="2880"/>
          </w:tcPr>
          <w:p>
            <w:r>
              <w:t>Seção 1: Generalização de 'celular' para 'dispositivo móvel'; Seção 2.4.2: Reforçando obrigatoriedade da chave; Seção 1.6.2. Nota de rodapé promovida para evidenciar reuso de QR Codes; Seção 1.6.3. Correção de fdqnPspRecebdor para fqdnPspRecebedor; Seção 2.7.1. Estruturando pontos de atenção;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Seção 2.7.1.1: na descrição do campo valor, texto alterado para refletir que o campo segue a regex especificada na API Pix: \d{1,10}\.\d{2}; Seção 2.7.1.2: na descrição do campo valor, texto alterado para refletir que o campo segue a regex especificada na API Pix: \d{1,10|\.\d{2}; corrigida a obrigatoriedade dos campos logradouro, cidade, uf e cep, pertencentes ao objeto `recebedor`. Estes campos estavam constando erroneamente como opcionais. Seção 2.7.1.2: Remoção da obrigatoriedade do calendario.validadeAposVencimento;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Seção 1.8: Inclusão de campos para o serviço de iniciação de transação de pagamento Seção 0: Informações gerais sobre como mapear os campos do serviço de iniciação de transação de pagamento Anexo III: Seção 2.1: Obrigatoriedade do campo calendario.validadeAposVencimento removida. Anexo III: Seção 2.3.3.2: Definição da precisão a ser utilizada no cálculo do fator de juros</w:t>
            </w:r>
          </w:p>
        </w:tc>
      </w:tr>
      <w:tr>
        <w:tc>
          <w:tcPr>
            <w:tcW w:type="dxa" w:w="2880"/>
          </w:tcPr>
          <w:p>
            <w:r>
              <w:t>26/8/2021</w:t>
            </w:r>
          </w:p>
        </w:tc>
        <w:tc>
          <w:tcPr>
            <w:tcW w:type="dxa" w:w="2880"/>
          </w:tcPr>
          <w:p>
            <w:r>
              <w:t>2.5.0</w:t>
            </w:r>
          </w:p>
        </w:tc>
        <w:tc>
          <w:tcPr>
            <w:tcW w:type="dxa" w:w="2880"/>
          </w:tcPr>
          <w:p>
            <w:r>
              <w:t>Seção 1: Esclarecimentos no texto Seção 1.2 e 1.5: Inclusão do novo campo de FSS relativos ao Pix Saque no QR Estático Seção 1.5.1: Inclusão de situação em que o campo fss é utilizado Seção 1.6: Inclusão dos campos relativos ao Pix Saque e Pix Troco no QR Dinâmico Seção 1.6.6.2: Adequação da descrição e da obrigatoriedade do campo calendario.validadeAposVencimento à especificação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da API Pix Seção 1.8: Alteração no quadro com as informações obrigatórias sobre iniciação através do serviço de iniciação de transação de pagamento Seção 2: Inclusão dos campos nas mensagens de pagamento relativos ao Pix Saque e Pix Troco Anexo I: Seção 1: Inclusão das funcionalidades relacionadas ao Pix Saque e ao Pix Troco dentre as contempladas pela API Pix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Anexo I: Seção 4: Inclusão da definição de FSS Anexo I: Seção 5.4.2: Inclusão das funcionalidades obrigatórias por produto ofertado Anexo III: Seção 2.1: Adequação da obrigatoriedade do campo calendario.validadeAposVencimento à especificação da API Pix Anexo 4: Inclusão do cronograma de implementação das funcionalidades obrigatórias</w:t>
            </w:r>
          </w:p>
        </w:tc>
      </w:tr>
      <w:tr>
        <w:tc>
          <w:tcPr>
            <w:tcW w:type="dxa" w:w="2880"/>
          </w:tcPr>
          <w:p>
            <w:r>
              <w:t>17/9/2021</w:t>
            </w:r>
          </w:p>
        </w:tc>
        <w:tc>
          <w:tcPr>
            <w:tcW w:type="dxa" w:w="2880"/>
          </w:tcPr>
          <w:p>
            <w:r>
              <w:t>2.6.0</w:t>
            </w:r>
          </w:p>
        </w:tc>
        <w:tc>
          <w:tcPr>
            <w:tcW w:type="dxa" w:w="2880"/>
          </w:tcPr>
          <w:p>
            <w:r>
              <w:t>Seção 2: Adequação das informações contidas nos campos das mensagens de pagamento e inclusão de orientações referentes a um Pix Saque via QR Code estático</w:t>
            </w:r>
          </w:p>
        </w:tc>
      </w:tr>
      <w:tr>
        <w:tc>
          <w:tcPr>
            <w:tcW w:type="dxa" w:w="2880"/>
          </w:tcPr>
          <w:p>
            <w:r>
              <w:t>29/10/2021</w:t>
            </w:r>
          </w:p>
        </w:tc>
        <w:tc>
          <w:tcPr>
            <w:tcW w:type="dxa" w:w="2880"/>
          </w:tcPr>
          <w:p>
            <w:r>
              <w:t>2.6.1</w:t>
            </w:r>
          </w:p>
        </w:tc>
        <w:tc>
          <w:tcPr>
            <w:tcW w:type="dxa" w:w="2880"/>
          </w:tcPr>
          <w:p>
            <w:r>
              <w:t>Seção 1.6.1: Alteração de texto da nota de rodapé 35 sobre o código do município Seção 1.6.6.1: Correção de AGTET para AGTEC Seção 1.6.6.1: Adequação sobre o conteúdo do campo valor.retirada.troco. modalidadeAgente para o Pix Troco Seção 1.6.6.2: Reforço da obrigatoriedade do campo calendario.validadeAposVencimento no retorno Seção 1.8: Inclusão de campos para o serviço de iniciação de transação de pagamento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Seção 2.3: Inclusão de campo do serviço de iniciação de transação de pagamento para pacs.008</w:t>
            </w:r>
          </w:p>
        </w:tc>
      </w:tr>
      <w:tr>
        <w:tc>
          <w:tcPr>
            <w:tcW w:type="dxa" w:w="2880"/>
          </w:tcPr>
          <w:p>
            <w:r>
              <w:t>09/12/2021</w:t>
            </w:r>
          </w:p>
        </w:tc>
        <w:tc>
          <w:tcPr>
            <w:tcW w:type="dxa" w:w="2880"/>
          </w:tcPr>
          <w:p>
            <w:r>
              <w:t>2.6.2</w:t>
            </w:r>
          </w:p>
        </w:tc>
        <w:tc>
          <w:tcPr>
            <w:tcW w:type="dxa" w:w="2880"/>
          </w:tcPr>
          <w:p>
            <w:r>
              <w:t>Seção 1: Adequação das terminologias relacionadas ao Pix Saque e Pix Troco Seção 1.5.4, 1.6.6.1 e 2.2: Inclusão dos correspondentes bancários como agente de Saque (modalidade AGTOT)</w:t>
            </w:r>
          </w:p>
        </w:tc>
      </w:tr>
      <w:tr>
        <w:tc>
          <w:tcPr>
            <w:tcW w:type="dxa" w:w="2880"/>
          </w:tcPr>
          <w:p>
            <w:r>
              <w:t>30/8/2022</w:t>
            </w:r>
          </w:p>
        </w:tc>
        <w:tc>
          <w:tcPr>
            <w:tcW w:type="dxa" w:w="2880"/>
          </w:tcPr>
          <w:p>
            <w:r>
              <w:t>2.6.3</w:t>
            </w:r>
          </w:p>
        </w:tc>
        <w:tc>
          <w:tcPr>
            <w:tcW w:type="dxa" w:w="2880"/>
          </w:tcPr>
          <w:p>
            <w:r>
              <w:t>Seção 1.5: Alteração na denominação do campo pss para fss no QR Code estático, com semântica equivalente Seções 1 e 2: Adequação das terminologias relacionadas ao Pix Saque e Pix Troco, em relação ao Facilitador de Serviço de Saque Seção 1.8: Alteração no quadro com as informações obrigatórias sobre iniciação através do serviço de iniciação de transação de pagamento, com adequação da data de obrigatoriedade da geração do código &lt;EndToEndId&gt; pelo iniciador e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inclusão de informação sobre o codMun do usuário pagador Anexo III. Seção 2.1: Inseridos esclarecimentos sobre os campos valor e valor do desconto, na composição do valor da cobrança Anexo III. Seção 2.3.2: Ajuste no cálculo do valor do desconto, na cobrança com vencimento, podendo ser aplicado para datas menores ou iguais à data de vencimento, conforme especificação da API Pix.</w:t>
            </w:r>
          </w:p>
        </w:tc>
      </w:tr>
      <w:tr>
        <w:tc>
          <w:tcPr>
            <w:tcW w:type="dxa" w:w="2880"/>
          </w:tcPr>
          <w:p>
            <w:r>
              <w:t>31/10/2024</w:t>
            </w:r>
          </w:p>
        </w:tc>
        <w:tc>
          <w:tcPr>
            <w:tcW w:type="dxa" w:w="2880"/>
          </w:tcPr>
          <w:p>
            <w:r>
              <w:t>2.7.0</w:t>
            </w:r>
          </w:p>
        </w:tc>
        <w:tc>
          <w:tcPr>
            <w:tcW w:type="dxa" w:w="2880"/>
          </w:tcPr>
          <w:p>
            <w:r>
              <w:t>Reorganização do documento: Criação da seção "1. Introdução" Seção anterior "1. Iniciação do Pix por QR Code" foi dividida em duas seções: "2. Iniciação por QR Code" e "3. Outras formas de iniciação"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Seção anterior "2. Mapeamento para Mensagens ISO 20022" foi transferida para o "ANEXO V - Mapeamento para Mensagens ISO 20022" O "ANEXO IV - Prazos para implementação das funcionalidades" foi alterado para "ANEXO VI - Prazos para implementação das funcionalidades" Inclusão do produto Pix Automático: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Criação da seção "2.8 Iniciação via QR Code Composto" Criação da seção "3.3 Pix Automático" Inclusão de conteúdo relativo ao Pix Automático e ao QR Code Composto no "ANEXO I - API Pix: Conceitos de negócio" Criação do "ANEXO IV - Pix Automático" Inclusão das mensagens utilizadas no Pix Automático no "ANEXO V - Mapeamento para Mensagens ISO 20022"</w:t>
            </w:r>
          </w:p>
        </w:tc>
      </w:tr>
      <w:tr>
        <w:tc>
          <w:tcPr>
            <w:tcW w:type="dxa" w:w="2880"/>
          </w:tcPr>
          <w:p>
            <w:r>
              <w:t>29/11/2024</w:t>
            </w:r>
          </w:p>
        </w:tc>
        <w:tc>
          <w:tcPr>
            <w:tcW w:type="dxa" w:w="2880"/>
          </w:tcPr>
          <w:p>
            <w:r>
              <w:t>2.8.0</w:t>
            </w:r>
          </w:p>
        </w:tc>
        <w:tc>
          <w:tcPr>
            <w:tcW w:type="dxa" w:w="2880"/>
          </w:tcPr>
          <w:p>
            <w:r>
              <w:t>Anexo IV, Seção 2.2.1: Inclusão de esclarecimento sobre os identificadores das recorrências. Inclusão do ANEXO VI sobre o Arquivo Padronizado do Pix Automático. Reorganização no documento: O "ANEXO VI - Prazos para implementação das funcionalidades" foi alterado para "ANEXO VII - Prazos para implementação das funcionalidades".</w:t>
            </w:r>
          </w:p>
        </w:tc>
      </w:tr>
      <w:tr>
        <w:tc>
          <w:tcPr>
            <w:tcW w:type="dxa" w:w="2880"/>
          </w:tcPr>
          <w:p>
            <w:r>
              <w:t>14/03/2025</w:t>
            </w:r>
          </w:p>
        </w:tc>
        <w:tc>
          <w:tcPr>
            <w:tcW w:type="dxa" w:w="2880"/>
          </w:tcPr>
          <w:p>
            <w:r>
              <w:t>2.8.1</w:t>
            </w:r>
          </w:p>
        </w:tc>
        <w:tc>
          <w:tcPr>
            <w:tcW w:type="dxa" w:w="2880"/>
          </w:tcPr>
          <w:p>
            <w:r>
              <w:t>Anexo IV, Seção 2.1.2: Ajuste na redação e inclusão da referência ao convênio no atributo recebedor da recorrência. Anexo IV, Seção 2.3.9: Inclusão da referência ao atributo ajusteDiaUtil na cobrança recorrente. Anexo IV, Seção 3.3.5: Inclusão da tabela de códigos de rejeição das tentativas de agendamento de cobranças recorrentes que provocam a rejeição da cobrança recorrente correlata. Anexo IV, Seção 4.3.1: Ajuste na regra para definição da data de início dos ciclos de cobrança, quando a data esperada da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cobrança não existe.</w:t>
            </w:r>
          </w:p>
        </w:tc>
      </w:tr>
      <w:tr>
        <w:tc>
          <w:tcPr>
            <w:tcW w:type="dxa" w:w="2880"/>
          </w:tcPr>
          <w:p>
            <w:r>
              <w:t>05/06/2025</w:t>
            </w:r>
          </w:p>
        </w:tc>
        <w:tc>
          <w:tcPr>
            <w:tcW w:type="dxa" w:w="2880"/>
          </w:tcPr>
          <w:p>
            <w:r>
              <w:t>2.8.2</w:t>
            </w:r>
          </w:p>
        </w:tc>
        <w:tc>
          <w:tcPr>
            <w:tcW w:type="dxa" w:w="2880"/>
          </w:tcPr>
          <w:p>
            <w:r>
              <w:t>Seção 2.8.4.2: Ajuste na coluna Mult. da tabela de forma a evidenciar a opcionalidade do campo vinculo.objeto dos parâmetros da recorrência. Inclusão de seção 3.4 sobre forma de iniciação "Pix por aproximação"</w:t>
            </w:r>
          </w:p>
        </w:tc>
      </w:tr>
      <w:tr>
        <w:tc>
          <w:tcPr>
            <w:tcW w:type="dxa" w:w="2880"/>
          </w:tcPr>
          <w:p>
            <w:r>
              <w:t>05/09/25</w:t>
            </w:r>
          </w:p>
        </w:tc>
        <w:tc>
          <w:tcPr>
            <w:tcW w:type="dxa" w:w="2880"/>
          </w:tcPr>
          <w:p>
            <w:r>
              <w:t>2.9.0</w:t>
            </w:r>
          </w:p>
        </w:tc>
        <w:tc>
          <w:tcPr>
            <w:tcW w:type="dxa" w:w="2880"/>
          </w:tcPr>
          <w:p>
            <w:r>
              <w:t>Seção 2.5.1: inclusão de exemplo de chave CNPJ alfanumérica. Anexo IV, Seção 2.1 e Seção 2.2: adaptação das regras de formação do idRec e idSolicRec ao CNPJ alfanumérico.</w:t>
            </w:r>
          </w:p>
        </w:tc>
      </w:tr>
      <w:tr>
        <w:tc>
          <w:tcPr>
            <w:tcW w:type="dxa" w:w="2880"/>
          </w:tcPr>
          <w:p>
            <w:r>
              <w:t>19/08/26</w:t>
            </w:r>
          </w:p>
        </w:tc>
        <w:tc>
          <w:tcPr>
            <w:tcW w:type="dxa" w:w="2880"/>
          </w:tcPr>
          <w:p>
            <w:r>
              <w:t>2.10.0</w:t>
            </w:r>
          </w:p>
        </w:tc>
        <w:tc>
          <w:tcPr>
            <w:tcW w:type="dxa" w:w="2880"/>
          </w:tcPr>
          <w:p>
            <w:r>
              <w:t>Seção 3.2: Inclusão da forma de iniciação AUTO no quadro com as informações obrigatórias sobre iniciação através do serviço de iniciação de transação de pagamento e ajuste na informação sobre o codMun do usuário pagador no QR Code dinâmico com vencimento Anexo III, Seção 3: Ajustes textuais sobre o campo valor.juros.valorPerc Anexo IV, Seção 2.1.6: Ajuste para inclusão de nova informação de encerramento de uma recorrência Anexo IV, Seção 2.2.5: Inclusão da seção com informações de encerramento de uma solicitação de recorrência.</w:t>
            </w:r>
          </w:p>
        </w:tc>
      </w:tr>
    </w:tbl>
    <w:p/>
    <w:p>
      <w:r>
        <w:t>NOTA</w:t>
      </w:r>
    </w:p>
    <w:p>
      <w:r>
        <w:t>O Decreto nº 10.411, de 30 de junho de 2020, prevê a obrigatoriedade da realização de análise de impacto regulatório (AIR) para a edição de atos normativos de interesse geral produzidos pelos órgãos e entidades da administração pública federal direta e indireta.</w:t>
      </w:r>
    </w:p>
    <w:p>
      <w:r>
        <w:t>Todavia, consoante se definiu no parágrafo 8 do Voto 280/2021-BCB, de 10 de novembro de 2021, o Regulamento do Pix, inclusive os demais documentos que o integram ou que o detalham e o complementam, não se caracterizam como ato regulatório de força cogente, ostentando, em verdade, natureza eminentemente contratual. Assim, modificações promovidas no referido regulamento e nos demais documentos que o integram ou que o detalham e o complementam não se sujeitam à produção prévia de AIR.</w:t>
      </w:r>
    </w:p>
    <w:p>
      <w:r>
        <w:t>Ricardo Teixeira Leite Mourão</w:t>
      </w:r>
    </w:p>
    <w:p>
      <w:r>
        <w:t>Chefe do Departamento de Competição e de Estrutura do Mercado Financeiro</w:t>
      </w:r>
    </w:p>
    <w:p>
      <w:r>
        <w:br w:type="page"/>
      </w:r>
    </w:p>
    <w:p>
      <w:pPr>
        <w:pStyle w:val="Heading2"/>
      </w:pPr>
      <w:r>
        <w:t>PORTARIA DIORE/SUSEP Nº 156, DE 12 DE AGOSTO DE 2026</w:t>
      </w:r>
    </w:p>
    <w:p>
      <w:r>
        <w:t>Categoria: Ministério da Fazenda/Superintendência de Seguros Privados/Diretoria de Organização de Mercado e Regulação de Conduta</w:t>
      </w:r>
    </w:p>
    <w:p>
      <w:r>
        <w:t>Página: 33</w:t>
      </w:r>
    </w:p>
    <w:p/>
    <w:p>
      <w:r>
        <w:t>PORTARIA DIORE/SUSEP Nº 156, DE 12 DE AGOSTO DE 2026</w:t>
      </w:r>
    </w:p>
    <w:p>
      <w:r>
        <w:t>O DIRETOR DA DIRETORIA DE ORGANIZAÇÃO DE MERCADO E REGULAÇÃO DE CONDUTA - DIORE, no uso da competência subdelegada pelo Superintendente da Susep, por meio da Portaria Susep nº 8.186, de 21 de julho de 2023, tendo em vista o disposto no inciso I do artigo 36 do Decreto-Lei nº 73, de 21 de novembro de 1966, com base no inciso V do artigo 5º da Resolução CNSP nº 422, de 11 de novembro de 2021, e no que consta do processo Susep nº 15414.605434/2026-53, resolve:</w:t>
      </w:r>
    </w:p>
    <w:p>
      <w:r>
        <w:t>Art. 1º Ficam homologados a eleição de administradores e o estatuto social de QI SEGURADORA S.A., CNPJ nº 63.851.104/0001-20, com sede na cidade de São Paulo - SP, conforme deliberado nas assembleias gerais extraordinárias realizadas em 27 de março de 2026 e em 11 de junho de 2026.</w:t>
      </w:r>
    </w:p>
    <w:p>
      <w:r>
        <w:t>Art. 2º Conceder a QI SEGURADORA S.A. autorização para operar seguros de danos e pessoas, no segmento S3, em todo o território nacional.</w:t>
      </w:r>
    </w:p>
    <w:p>
      <w:r>
        <w:t>Art. 3º Ratificar que o capital social de QI SEGURADORA S.A. é de R$ 25.000.020,00, dividido em 25.000.020 ações ordinárias, nominativas e sem valor nominal.</w:t>
      </w:r>
    </w:p>
    <w:p>
      <w:r>
        <w:t>Art. 4º Ratificar que o controle acionário indireto e a ingerência efetiva nos negócios de QI SEGURADORA S.A. são exercidos pela pessoa natural do Sr. Pedro Henrique Coury Mac Dowell, CPF nº ***.385.698-**.</w:t>
      </w:r>
    </w:p>
    <w:p>
      <w:r>
        <w:t>Art.5° Esta Portaria entra em vigor na data de sua publicação.</w:t>
      </w:r>
    </w:p>
    <w:p>
      <w:r>
        <w:t>CARLOS ROBERTO ALVES DE QUEIROZ</w:t>
      </w:r>
    </w:p>
    <w:p>
      <w:r>
        <w:br w:type="page"/>
      </w:r>
    </w:p>
    <w:p>
      <w:pPr>
        <w:pStyle w:val="Heading2"/>
      </w:pPr>
      <w:r>
        <w:t>PORTARIA DIORE/SUSEP Nº 157, DE 14 DE AGOSTO DE 2026</w:t>
      </w:r>
    </w:p>
    <w:p>
      <w:r>
        <w:t>Categoria: Ministério da Fazenda/Superintendência de Seguros Privados/Diretoria de Organização de Mercado e Regulação de Conduta</w:t>
      </w:r>
    </w:p>
    <w:p>
      <w:r>
        <w:t>Página: 33</w:t>
      </w:r>
    </w:p>
    <w:p/>
    <w:p>
      <w:r>
        <w:t>PORTARIA DIORE/SUSEP Nº 157, DE 14 DE AGOSTO DE 2026</w:t>
      </w:r>
    </w:p>
    <w:p>
      <w:r>
        <w:t>O DIRETOR DA DIRETORIA DE ORGANIZAÇÃO DE MERCADO E REGULAÇÃO DE CONDUTA - DIORE, no uso da competência subdelegada pelo Superintendente da Susep, por meio da Portaria nº 8.186, de 21 de julho de 2023, tendo em vista o disposto no inciso I do art. 36 do Decreto-Lei nº 73, de 21 de novembro de 1966, com base no artigo 4º da Resolução CNSP nº 453, de 19 de dezembro de 2022, combinado com os incisos I e V do artigo 5º da Resolução CNSP nº 422, de 11 de novembro de 2021, e no que consta do processo Susep nº 15414.625435/2026-14, resolve:</w:t>
      </w:r>
    </w:p>
    <w:p>
      <w:r>
        <w:t>Art. 1º Ficam homologados a eleição de administradores e o estatuto social de BTG PACTUAL SOCIEDADE SEGURADORA DE PROPÓSITO ESPECÍFICO S.A., CNPJ nº 63.512.576/0001-58, com sede na cidade de São Paulo - SP, conforme deliberado na assembleia geral extraordinária realizada em 7 de abril de 2026.</w:t>
      </w:r>
    </w:p>
    <w:p>
      <w:r>
        <w:t>Art. 2º Conceder a BTG PACTUAL SOCIEDADE SEGURADORA DE PROPÓSITO ESPECÍFICO S.A. autorização para emitir Letra de Risco de Seguro, no segmento S2, em todo o território nacional.</w:t>
      </w:r>
    </w:p>
    <w:p>
      <w:r>
        <w:t>Art. 3º Ratificar que o capital social de BTG PACTUAL SOCIEDADE SEGURADORA DE PROPÓSITO ESPECÍFICO S.A. é de R$ 3.000.500,00, representado por 3.000.500 ações ordinárias, nominativas e sem valor nominal.</w:t>
      </w:r>
    </w:p>
    <w:p>
      <w:r>
        <w:t>Art. 4º Ratificar que o controle acionário indireto e a ingerência efetiva nos negócios de BTG PACTUAL SOCIEDADE SEGURADORA DE PROPÓSITO ESPECÍFICO S.A. são exercidos por BANCO BTG PACTUAL S.A., CNPJ nº 30.306.294/0001-45, com sede na cidade do Rio de Janeiro - RJ.</w:t>
      </w:r>
    </w:p>
    <w:p>
      <w:r>
        <w:t>Art.5° Esta Portaria entra em vigor na data de sua publicação.</w:t>
      </w:r>
    </w:p>
    <w:p>
      <w:r>
        <w:t>CARLOS ROBERTO ALVES DE QUEIROZ</w:t>
      </w:r>
    </w:p>
    <w:p>
      <w:r>
        <w:br w:type="page"/>
      </w:r>
    </w:p>
    <w:p>
      <w:pPr>
        <w:pStyle w:val="Heading2"/>
      </w:pPr>
      <w:r>
        <w:t>RETIFICAÇÃO</w:t>
      </w:r>
    </w:p>
    <w:p>
      <w:r>
        <w:t>Categoria: Ministério da Previdência Social/Superintendência Nacional de Previdência Complementar/Diretoria de Licenciamento</w:t>
      </w:r>
    </w:p>
    <w:p>
      <w:r>
        <w:t>Página: 58</w:t>
      </w:r>
    </w:p>
    <w:p/>
    <w:p>
      <w:r>
        <w:t>RETIFICAÇÃO</w:t>
      </w:r>
    </w:p>
    <w:p>
      <w:r>
        <w:t>Na Portaria nº 485, de 27/06/2026, publicada no DOU nº 122, de 02/07/2026, seção 1, pág. 92, art. 1º, onde se lê: "convênio de adesão celebrado entre a empresa Monte Rodovias S.A., CNPJ nº 7.702.340/0001-74", leia-se: "convênio de adesão celebrado entre a empresa Monte Rodovias S.A., CNPJ nº 37.702.340/0001-74".</w:t>
      </w:r>
    </w:p>
    <w:p>
      <w:r>
        <w:br w:type="page"/>
      </w:r>
    </w:p>
    <w:p>
      <w:pPr>
        <w:pStyle w:val="Heading2"/>
      </w:pPr>
      <w:r>
        <w:t>Portaria Previc Nº 613, DE 12 DE agosto DE 2026</w:t>
      </w:r>
    </w:p>
    <w:p>
      <w:r>
        <w:t>Categoria: Ministério da Previdência Social/Superintendência Nacional de Previdência Complementar/Diretoria de Licenciamento</w:t>
      </w:r>
    </w:p>
    <w:p>
      <w:r>
        <w:t>Página: 57</w:t>
      </w:r>
    </w:p>
    <w:p/>
    <w:p>
      <w:r>
        <w:t>Portaria Previc Nº 613, DE 12 DE agosto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44011.002336/2026-09, resolve:</w:t>
      </w:r>
    </w:p>
    <w:p>
      <w:r>
        <w:t>Art.1º Aprovar as alterações propostas ao regulamento do Plano de Benefícios Boticário Prev, CNPB nº 1995.0036-38, administrado pela Boticário Prev Sociedade de Previdência Privada, CNPJ nº 00.998.828/0001-80.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