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Agosto de 2026</w:t>
      </w:r>
    </w:p>
    <w:p>
      <w:r>
        <w:t>Filtros aplicados: Agência Nacional de Proteção de Dados, Banco Central do Brasil, Conselho Nacional de Previdência Complementar, Superintendência Nacional de Previdência Complementar, Superintendência de Seguros Privados</w:t>
      </w:r>
      <w:r>
        <w:t xml:space="preserve">  ·  163 atos no mês</w:t>
      </w:r>
    </w:p>
    <w:p>
      <w:r>
        <w:br w:type="page"/>
      </w:r>
    </w:p>
    <w:p>
      <w:pPr>
        <w:pStyle w:val="Heading1"/>
      </w:pPr>
      <w:r>
        <w:t>2026-08-03</w:t>
      </w:r>
    </w:p>
    <w:p>
      <w:pPr>
        <w:pStyle w:val="Heading2"/>
      </w:pPr>
      <w:r>
        <w:t>Portaria Previc Nº 561, DE 22 DE julho DE 2026</w:t>
      </w:r>
    </w:p>
    <w:p>
      <w:r>
        <w:t>Categoria: Ministério da Previdência Social/Superintendência Nacional de Previdência Complementar/Diretoria de Licenciamento</w:t>
      </w:r>
    </w:p>
    <w:p>
      <w:r>
        <w:t>Página: 49</w:t>
      </w:r>
    </w:p>
    <w:p/>
    <w:p>
      <w:r>
        <w:t>Portaria Previc Nº 561, DE 22 DE julho DE 2026</w:t>
      </w:r>
    </w:p>
    <w:p>
      <w:r>
        <w:t>O DIRETOR DE LICENCIAMENTO, no uso das atribuições que lhe confere as alíneas "c" e "d" do inciso I do art. 66 da Portaria nº 861, de 09 de Outubro de 2024 (Regimento Interno da Superintendência Nacional de Previdência Complementar - Previc), e considerando as manifestações técnicas exaradas no Processo nº 44011.010194/2025-64, resolve:</w:t>
      </w:r>
    </w:p>
    <w:p>
      <w:r>
        <w:t>Art. 1º Aprovar o Regulamento do Plano Instituído PRESENCE, sob o CNPB nº 2026.0003-11, a ser administrado pela Fundação de Seguridade Social Braslight, CNPJ nº 42.334.144/0001-24, e fixar o prazo de 180 (cento e oitenta) dias para que a entidade fechada de previdência complementar comunique o início de funcionamento do plano à Previc.</w:t>
      </w:r>
    </w:p>
    <w:p>
      <w:r>
        <w:t>Art. 2 º Aprovar o Termo de Adesão da Fundação de Seguridade Social Braslight ao Plano Instituído PRESENCE.</w:t>
      </w:r>
    </w:p>
    <w:p>
      <w:r>
        <w:t>Art. 3º Esta Portaria entra em vigor na data de sua publicação</w:t>
      </w:r>
    </w:p>
    <w:p>
      <w:r>
        <w:t>GUILHERME CAPRIATA VACCARO CAMPELO BEZERRA</w:t>
      </w:r>
    </w:p>
    <w:p>
      <w:r>
        <w:br w:type="page"/>
      </w:r>
    </w:p>
    <w:p>
      <w:pPr>
        <w:pStyle w:val="Heading1"/>
      </w:pPr>
      <w:r>
        <w:t>2026-08-04</w:t>
      </w:r>
    </w:p>
    <w:p>
      <w:pPr>
        <w:pStyle w:val="Heading2"/>
      </w:pPr>
      <w:r>
        <w:t>PORTARIA CGAUT/SUSEP nº 113, de 3 de AGOSTO de 2026</w:t>
      </w:r>
    </w:p>
    <w:p>
      <w:r>
        <w:t>Categoria: Ministério da Fazenda/Superintendência de Seguros Privados/Diretoria de Organização de Mercado e Regulação de Conduta/Coordenação-Geral de Autorizações</w:t>
      </w:r>
    </w:p>
    <w:p>
      <w:r>
        <w:t>Página: 42</w:t>
      </w:r>
    </w:p>
    <w:p/>
    <w:p>
      <w:r>
        <w:t>PORTARIA CGAUT/SUSEP nº 113, de 3 de AGOSTO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combinado com o parágrafo 2º do artigo 3º do Decreto-Lei nº 261, de 28 de fevereiro de 1967, com base no inciso I do artigo 5º da Resolução CNSP nº 422, de 11 de novembro de 2021, e o que consta do processo Susep nº 15414.621630/2026-75, resolve:</w:t>
      </w:r>
    </w:p>
    <w:p>
      <w:r>
        <w:t>Art. 1º Fica homologada a eleição de administradores de LIDERANÇA CAPITALIZAÇÃO S.A., CNPJ nº 60.853.264/0001-10, com sede na cidade de São Paulo - SP, deliberada nas assembleias gerais ordinária e extraordinária realizadas cumulativamente em 30 de março de 2026.</w:t>
      </w:r>
    </w:p>
    <w:p>
      <w:r>
        <w:t>Art. 2º Esta portaria entra em vigor na data de sua publicação.</w:t>
      </w:r>
    </w:p>
    <w:p>
      <w:r>
        <w:t>MAUREL ALEXIS WEICHERT</w:t>
      </w:r>
    </w:p>
    <w:p>
      <w:pPr>
        <w:pStyle w:val="Heading2"/>
      </w:pPr>
      <w:r>
        <w:t>PORTARIA CGCCR/SUSEP nº 17, de 31 de JULHO de 2026</w:t>
      </w:r>
    </w:p>
    <w:p>
      <w:r>
        <w:t>Categoria: Ministério da Fazenda/Superintendência de Seguros Privados/Diretoria de Organização de Mercado e Regulação de Conduta/Coordenação-Geral de Credenciamentos, Cadastros e Regimes Especiais</w:t>
      </w:r>
    </w:p>
    <w:p>
      <w:r>
        <w:t>Página: 42</w:t>
      </w:r>
    </w:p>
    <w:p/>
    <w:p>
      <w:r>
        <w:t>PORTARIA CGCCR/SUSEP nº 17, de 31 de JULHO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artigo 12 da Lei Complementar nº 126, de 15 de janeiro de 2007, no inciso V do art. 5º e art. 43, todos da Resolução CNSP nº 422, de 11 de novembro de 2021, e o que consta do processo Susep nº 15414.673101/2025-76,</w:t>
      </w:r>
    </w:p>
    <w:p>
      <w:r>
        <w:t>resolve:</w:t>
      </w:r>
    </w:p>
    <w:p>
      <w:r>
        <w:t>Art.1° Ficam homologadas as seguintes deliberações tomadas pelos sócios de LATIN AMERICA RE ADMINISTRAÇÃO E CORRETAGEM DE RESSEGUROS LTDA., inscrita no CNPJ/MF sob o número CNPJ 32.071.077/0001-49, com sede na cidade de São Paulo - SP, conforme deliberado e aprovado na 26ª alteração contratual realizada em 24 de novembro de 2025, retificado por meio da 27ª alteração contratual realizada em 2 de fevereiro de 2026.</w:t>
      </w:r>
    </w:p>
    <w:p>
      <w:r>
        <w:t>I - eleição do Sr. Marcos Roberto da Luz ao cargo de diretor responsável pelo cumprimento do disposto na Lei nº 9.613/1998;</w:t>
      </w:r>
    </w:p>
    <w:p>
      <w:r>
        <w:t>II- eleição da Sra. Juliana Canil de Souza ao cargo de diretora de controles internos; e</w:t>
      </w:r>
    </w:p>
    <w:p>
      <w:r>
        <w:t>III - consolidação do contrato social.</w:t>
      </w:r>
    </w:p>
    <w:p>
      <w:r>
        <w:t>Art. 2º Esta portaria entra em vigor na data de sua publicação.</w:t>
      </w:r>
    </w:p>
    <w:p>
      <w:r>
        <w:t>JONAS DOS SANTOS SOUSA</w:t>
      </w:r>
    </w:p>
    <w:p>
      <w:r>
        <w:br w:type="page"/>
      </w:r>
    </w:p>
    <w:p>
      <w:pPr>
        <w:pStyle w:val="Heading1"/>
      </w:pPr>
      <w:r>
        <w:t>2026-08-05</w:t>
      </w:r>
    </w:p>
    <w:p>
      <w:pPr>
        <w:pStyle w:val="Heading2"/>
      </w:pPr>
      <w:r>
        <w:t>PORTARIA CGAUT/SUSEP nº 114, de 3 de AGOSTO de 2026</w:t>
      </w:r>
    </w:p>
    <w:p>
      <w:r>
        <w:t>Categoria: Ministério da Fazenda/Superintendência de Seguros Privados/Diretoria de Organização de Mercado e Regulação de Conduta/Coordenação-Geral de Autorizações</w:t>
      </w:r>
    </w:p>
    <w:p>
      <w:r>
        <w:t>Página: 112</w:t>
      </w:r>
    </w:p>
    <w:p/>
    <w:p>
      <w:r>
        <w:t>PORTARIA CGAUT/SUSEP nº 114, de 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combinado com o artigo 5º da Lei Complementar nº 126, de 15 de janeiro de 2007, com base no inciso V do artigo 5º da Resolução CNSP nº 422, de 11 de novembro de 2021, e o que consta do processo Susep nº 15414.622219/2026-17, resolve:</w:t>
      </w:r>
    </w:p>
    <w:p>
      <w:r>
        <w:t>Art. 1º Fica homologada a eleição de membro do comitê de auditoria de ZURICH RESSEGURADORA BRASIL S.A., CNPJ nº 14.387.387/0001-95, com sede na cidade de São Paulo - SP, conforme deliberado na reunião do conselho de administração realizada em 24 de março de 2026.</w:t>
      </w:r>
    </w:p>
    <w:p>
      <w:r>
        <w:t>Art. 2º Esta portaria entra em vigor na data de sua publicação.</w:t>
      </w:r>
    </w:p>
    <w:p>
      <w:r>
        <w:t>MAUREL ALEXIS WEICHERT</w:t>
      </w:r>
    </w:p>
    <w:p>
      <w:pPr>
        <w:pStyle w:val="Heading2"/>
      </w:pPr>
      <w:r>
        <w:t>PORTARIA CGAUT/SUSEP nº 115, de 3 de AGOSTO de 2026</w:t>
      </w:r>
    </w:p>
    <w:p>
      <w:r>
        <w:t>Categoria: Ministério da Fazenda/Superintendência de Seguros Privados/Diretoria de Organização de Mercado e Regulação de Conduta/Coordenação-Geral de Autorizações</w:t>
      </w:r>
    </w:p>
    <w:p>
      <w:r>
        <w:t>Página: 112</w:t>
      </w:r>
    </w:p>
    <w:p/>
    <w:p>
      <w:r>
        <w:t>PORTARIA CGAUT/SUSEP nº 115, de 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15414.622153/2026-65, resolve:</w:t>
      </w:r>
    </w:p>
    <w:p>
      <w:r>
        <w:t>Art. 1º Fica homologada a eleição de membro do comitê de auditoria de ZURICH BRASIL COMPANHIA DE SEGUROS, CNPJ nº 96.348.677/0001-94, com sede na cidade de São Paulo - SP, conforme deliberado na reunião do conselho de administração realizada em 24 de março de 2026.</w:t>
      </w:r>
    </w:p>
    <w:p>
      <w:r>
        <w:t>Art. 2º Esta portaria entra em vigor na data de sua publicação.</w:t>
      </w:r>
    </w:p>
    <w:p>
      <w:r>
        <w:t>MAUREL ALEXIS WEICHERT</w:t>
      </w:r>
    </w:p>
    <w:p>
      <w:pPr>
        <w:pStyle w:val="Heading2"/>
      </w:pPr>
      <w:r>
        <w:t>PORTARIA CGAUT/SUSEP nº 116, de 3 de AGOSTO de 2026</w:t>
      </w:r>
    </w:p>
    <w:p>
      <w:r>
        <w:t>Categoria: Ministério da Fazenda/Superintendência de Seguros Privados/Diretoria de Organização de Mercado e Regulação de Conduta/Coordenação-Geral de Autorizações</w:t>
      </w:r>
    </w:p>
    <w:p>
      <w:r>
        <w:t>Página: 112</w:t>
      </w:r>
    </w:p>
    <w:p/>
    <w:p>
      <w:r>
        <w:t>PORTARIA CGAUT/SUSEP nº 116, de 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combinado com o parágrafo 2º do artigo 3º do Decreto-Lei nº 261, de 28 de fevereiro de 1967, com base no inciso V do artigo 5º da Resolução CNSP nº 422, de 11 de novembro de 2021, e o que consta do processo Susep nº 15414.622176/2026-70, resolve:</w:t>
      </w:r>
    </w:p>
    <w:p>
      <w:r>
        <w:t>Art. 1º Fica homologada a eleição de membro do comitê de auditoria de ZURICH BRASIL CAPITALIZAÇÃO S.A., CNPJ nº 17.266.009/0001-41, com sede na cidade de São Paulo - SP, conforme deliberado na reunião do conselho de administração realizada em 24 de março de 2026.</w:t>
      </w:r>
    </w:p>
    <w:p>
      <w:r>
        <w:t>Art. 2º Esta portaria entra em vigor na data de sua publicação.</w:t>
      </w:r>
    </w:p>
    <w:p>
      <w:r>
        <w:t>MAUREL ALEXIS WEICHERT</w:t>
      </w:r>
    </w:p>
    <w:p>
      <w:pPr>
        <w:pStyle w:val="Heading2"/>
      </w:pPr>
      <w:r>
        <w:t>PORTARIA CGCCR/SUSEP nº 20, de 4 de AGOSTO de 2026</w:t>
      </w:r>
    </w:p>
    <w:p>
      <w:r>
        <w:t>Categoria: Ministério da Fazenda/Superintendência de Seguros Privados/Diretoria de Organização de Mercado e Regulação de Conduta/Coordenação-Geral de Credenciamentos, Cadastros e Regimes Especiais</w:t>
      </w:r>
    </w:p>
    <w:p>
      <w:r>
        <w:t>Página: 113</w:t>
      </w:r>
    </w:p>
    <w:p/>
    <w:p>
      <w:r>
        <w:t>PORTARIA CGCCR/SUSEP nº 20, de 4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 do art. 4º da Lei Complementar nº 126, de 15 de janeiro de 2007, no inciso II do art. 5º, no §2º do art. 26 e no §7º do art. 28, todos da Resolução CNSP nº 422, de 11 de novembro de 2021, e o que consta do processo Susep nº 15414.635951/2026-57, resolve:</w:t>
      </w:r>
    </w:p>
    <w:p>
      <w:r>
        <w:t>Art.1° Fica homologada a atualização cadastral anual de 2026 de FACTORY MUTUAL INSURANCE COMPANY, CNPJ nº 10.916.851/0001-32, sociedade organizada e constituída de acordo com as leis do Estado de Rhode Island, Estados Unidos da América, cadastrada como resseguradora admitida, nos termos da Portaria SUSEP nº 3.319, de 15 setembro de 2009.</w:t>
      </w:r>
    </w:p>
    <w:p>
      <w:r>
        <w:t>Art. 2º Fica ratificado que o Sr. Daniel Patavino Mazzi exerce a função de procurador e representante do Ressegurador.</w:t>
      </w:r>
    </w:p>
    <w:p>
      <w:r>
        <w:t>Art. 3º Esta portaria entra em vigor na data de sua publicação.</w:t>
      </w:r>
    </w:p>
    <w:p>
      <w:r>
        <w:t>JONAS DOS SANTOS SOUSA</w:t>
      </w:r>
    </w:p>
    <w:p>
      <w:r>
        <w:br w:type="page"/>
      </w:r>
    </w:p>
    <w:p>
      <w:pPr>
        <w:pStyle w:val="Heading1"/>
      </w:pPr>
      <w:r>
        <w:t>2026-08-06</w:t>
      </w:r>
    </w:p>
    <w:p>
      <w:pPr>
        <w:pStyle w:val="Heading2"/>
      </w:pPr>
      <w:r>
        <w:t>Portaria Previc Nº 568, DE 26 DE julho DE 2026</w:t>
      </w:r>
    </w:p>
    <w:p>
      <w:r>
        <w:t>Categoria: Ministério da Previdência Social/Superintendência Nacional de Previdência Complementar/Diretoria de Licenciamento</w:t>
      </w:r>
    </w:p>
    <w:p>
      <w:r>
        <w:t>Página: 122</w:t>
      </w:r>
    </w:p>
    <w:p/>
    <w:p>
      <w:r>
        <w:t>Portaria Previc Nº 568, DE 26 DE julho DE 2026</w:t>
      </w:r>
    </w:p>
    <w:p>
      <w:r>
        <w:t>O DIRETOR DE LICENCIAMENTO, no uso das atribuições que lhe confere as alíneas "c" e "j" do inciso I do art. 66 da Portaria nº 861, de 9 de outubro de 2024 (Regimento Interno da Superintendência Nacional de Previdência Complementar - Previc), e considerando as manifestações técnicas exaradas no Processo nº 44011.012954/2024-97, resolve:</w:t>
      </w:r>
    </w:p>
    <w:p>
      <w:r>
        <w:t>Art. 1º Autorizar a retirada de patrocínio parcial da Tocantins Energética S.A., CNPJ nº 01.673.025/0001-19, do Plano de Benefícios Elétricas OP - CNPB nº 1998.0063-11 e CNPJ nº 48.307.019/0001-01, administrado pela ENERGISAPREV - Fundação Energisa de Previdência, CNPJ nº 06.056.449/0001-58.</w:t>
      </w:r>
    </w:p>
    <w:p>
      <w:r>
        <w:t>Art. 2º Aprovar a aplicação das alterações propostas ao regulamento do Plano de Benefícios Prosperisa (denominação anterior Plano Energisaprev Família), CNPB nº 2023.0012-18 e CNPJ nº 52.412.336/0001-65, administrado pela ENERGISAPREV - Fundação Energisa de Previdência, CNPJ nº 06.056.449/0001-58.</w:t>
      </w:r>
    </w:p>
    <w:p>
      <w:r>
        <w:t>Art. 3º Esta Portaria entra em vigor na data de sua publicação.</w:t>
      </w:r>
    </w:p>
    <w:p>
      <w:r>
        <w:t>GUILHERME CAPRIATA VACCARO CAMPELO BEZERRA</w:t>
      </w:r>
    </w:p>
    <w:p>
      <w:pPr>
        <w:pStyle w:val="Heading2"/>
      </w:pPr>
      <w:r>
        <w:t>Portaria Previc Nº 571, DE 27 DE julho DE 2026</w:t>
      </w:r>
    </w:p>
    <w:p>
      <w:r>
        <w:t>Categoria: Ministério da Previdência Social/Superintendência Nacional de Previdência Complementar/Diretoria de Licenciamento</w:t>
      </w:r>
    </w:p>
    <w:p>
      <w:r>
        <w:t>Página: 122</w:t>
      </w:r>
    </w:p>
    <w:p/>
    <w:p>
      <w:r>
        <w:t>Portaria Previc Nº 571, DE 27 DE julho DE 2026</w:t>
      </w:r>
    </w:p>
    <w:p>
      <w:r>
        <w:t>O DIRETOR DE LICENCIAMENTO, no uso das atribuições que lhe confere as alíneas "c" e "j" do inciso I do art. 66 no Anexo I da Portaria Previc nº 861, de 09 de outubro de 2024 (Regimento Interno da Superintendência Nacional de Previdência Complementar - Previc), e considerando as manifestações técnicas exaradas no Processo nº 44011.012948/2024-30, resolve:</w:t>
      </w:r>
    </w:p>
    <w:p>
      <w:r>
        <w:t>Art. 1º Autorizar a retirada de patrocínio parcial da patrocinadora Tocantins Energética S.A., CNPJ nº 01.673.025/0001-19, do Plano de Benefícios R (CNPB nº 2006.0066-65, CNPJ nº 48.307.345/0001-19), administrado pela EnergisaPrev - Fundação Energisa de Previdência, CNPJ nº 06.056.449/0001-58.</w:t>
      </w:r>
    </w:p>
    <w:p>
      <w:r>
        <w:t>Art. 2º Aprovar a aplicação das alterações propostas ao regulamento do Plano de Benefícios Prosperisa (denominação anterior Plano EnergisaPrev Família), CNPB nº 2023.0012-18 e CNPJ nº 52.412.336/0001-65), administrado pela ENERGISAPREV - Fundação Energisa de Previdência, CNPJ nº 06.056.449/0001-58.</w:t>
      </w:r>
    </w:p>
    <w:p>
      <w:r>
        <w:t>Art. 3º Esta Portaria entra em vigor na data de sua publicação.</w:t>
      </w:r>
    </w:p>
    <w:p>
      <w:r>
        <w:t>GUILHERME CAPRIATA VACCARO CAMPELO BEZERRA</w:t>
      </w:r>
    </w:p>
    <w:p>
      <w:r>
        <w:br w:type="page"/>
      </w:r>
    </w:p>
    <w:p>
      <w:pPr>
        <w:pStyle w:val="Heading1"/>
      </w:pPr>
      <w:r>
        <w:t>2026-08-07</w:t>
      </w:r>
    </w:p>
    <w:p>
      <w:pPr>
        <w:pStyle w:val="Heading2"/>
      </w:pPr>
      <w:r>
        <w:t>PORTARIA CGAUT/SUSEP nº 117, de 5 de AGOSTO de 2026</w:t>
      </w:r>
    </w:p>
    <w:p>
      <w:r>
        <w:t>Categoria: Ministério da Fazenda/Superintendência de Seguros Privados/Diretoria de Organização de Mercado e Regulação de Conduta/Coordenação-Geral de Autorizações</w:t>
      </w:r>
    </w:p>
    <w:p>
      <w:r>
        <w:t>Página: 74</w:t>
      </w:r>
    </w:p>
    <w:p/>
    <w:p>
      <w:r>
        <w:t>PORTARIA CGAUT/SUSEP nº 117, de 5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15414.622800/2026-39, resolve:</w:t>
      </w:r>
    </w:p>
    <w:p>
      <w:r>
        <w:t>Art. 1º Fica homologada a eleição de administrador de SAFRA SEGUROS GERAIS S.A., CNPJ nº 06.109.373/0001-81, com sede na cidade de São Paulo - SP, conforme deliberado na assembleia geral extraordinária realizada em 20 de abril de 2026.</w:t>
      </w:r>
    </w:p>
    <w:p>
      <w:r>
        <w:t>Art. 2º Esta portaria entra em vigor na data de sua publicação.</w:t>
      </w:r>
    </w:p>
    <w:p>
      <w:r>
        <w:t>MAUREL ALEXIS WEICHERT</w:t>
      </w:r>
    </w:p>
    <w:p>
      <w:pPr>
        <w:pStyle w:val="Heading2"/>
      </w:pPr>
      <w:r>
        <w:t>PORTARIA CGAUT/SUSEP nº 118, de 5 de AGOSTO de 2026</w:t>
      </w:r>
    </w:p>
    <w:p>
      <w:r>
        <w:t>Categoria: Ministério da Fazenda/Superintendência de Seguros Privados/Diretoria de Organização de Mercado e Regulação de Conduta/Coordenação-Geral de Autorizações</w:t>
      </w:r>
    </w:p>
    <w:p>
      <w:r>
        <w:t>Página: 74</w:t>
      </w:r>
    </w:p>
    <w:p/>
    <w:p>
      <w:r>
        <w:t>PORTARIA CGAUT/SUSEP nº 118, de 5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15414.622809/2026-40, resolve:</w:t>
      </w:r>
    </w:p>
    <w:p>
      <w:r>
        <w:t>Art. 1º Fica homologada a eleição de administrador de SAFRA VIDA E PREVIDÊNCIA S.A., CNPJ nº 30.902.142/0001-05, com sede na cidade de São Paulo - SP, conforme deliberado na assembleia geral extraordinária realizada em 20 de abril de 2026.</w:t>
      </w:r>
    </w:p>
    <w:p>
      <w:r>
        <w:t>Art. 2º Esta portaria entra em vigor na data de sua publicação.</w:t>
      </w:r>
    </w:p>
    <w:p>
      <w:r>
        <w:t>MAUREL ALEXIS WEICHERT</w:t>
      </w:r>
    </w:p>
    <w:p>
      <w:pPr>
        <w:pStyle w:val="Heading2"/>
      </w:pPr>
      <w:r>
        <w:t>PORTARIA CGAUT/SUSEP nº 119, de 6 de AGOSTO de 2026</w:t>
      </w:r>
    </w:p>
    <w:p>
      <w:r>
        <w:t>Categoria: Ministério da Fazenda/Superintendência de Seguros Privados/Diretoria de Organização de Mercado e Regulação de Conduta/Coordenação-Geral de Autorizações</w:t>
      </w:r>
    </w:p>
    <w:p>
      <w:r>
        <w:t>Página: 74</w:t>
      </w:r>
    </w:p>
    <w:p/>
    <w:p>
      <w:r>
        <w:t>PORTARIA CGAUT/SUSEP nº 119, de 6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15414.634783/2026-82, resolve:</w:t>
      </w:r>
    </w:p>
    <w:p>
      <w:r>
        <w:t>Art. 1º Fica homologada a eleição de administrador de MITSUI SUMITOMO SEGUROS S.A., CNPJ nº 33.016.221/0001-07, com sede na cidade de São Paulo - SP, conforme deliberado na assembleia geral extraordinária realizada em 1º de junho de 2026.</w:t>
      </w:r>
    </w:p>
    <w:p>
      <w:r>
        <w:t>Art. 2º Esta portaria entra em vigor na data de sua publicação.</w:t>
      </w:r>
    </w:p>
    <w:p>
      <w:r>
        <w:t>MAUREL ALEXIS WEICHERT</w:t>
      </w:r>
    </w:p>
    <w:p>
      <w:pPr>
        <w:pStyle w:val="Heading2"/>
      </w:pPr>
      <w:r>
        <w:t>PARECER DE ORIENTAÇÃO N° 5/2025/SUSEP</w:t>
      </w:r>
    </w:p>
    <w:p>
      <w:pPr>
        <w:pStyle w:val="ListBullet"/>
      </w:pPr>
      <w:r>
        <w:t>Ementa: Ata de Registro de Preços. Termo aditivo. Prorrogação de vigência, com fundamento no art. 84 da Lei n° 14.133, de 2021, c/c art. 22 do Decreto n° 11.462, de 2023. Recomendação para adoção do presente parecer como Parecer Referencial, na forma da Orientação Normativa AGU n.º 55, de 23 de maio de 2014, e Portaria PGF n° 262, de 5 de maio de 2017, nos casos de ausência de dúvidas jurídicas.</w:t>
      </w:r>
    </w:p>
    <w:p>
      <w:r>
        <w:t>Categoria: Ministério da Fazenda/Superintendência de Seguros Privados</w:t>
      </w:r>
    </w:p>
    <w:p>
      <w:r>
        <w:t>Página: 53</w:t>
      </w:r>
    </w:p>
    <w:p/>
    <w:p>
      <w:r>
        <w:t>PARECER DE ORIENTAÇÃO N° 5/2025/SUSEP</w:t>
      </w:r>
    </w:p>
    <w:p>
      <w:r>
        <w:t>Ata de Registro de Preços. Termo aditivo. Prorrogação de vigência, com fundamento no art. 84 da Lei n° 14.133, de 2021, c/c art. 22 do Decreto n° 11.462, de 2023. Recomendação para adoção do presente parecer como Parecer Referencial, na forma da Orientação Normativa AGU n.º 55, de 23 de maio de 2014, e Portaria PGF n° 262, de 5 de maio de 2017, nos casos de ausência de dúvidas jurídicas.</w:t>
      </w:r>
    </w:p>
    <w:p>
      <w:r>
        <w:t>Conselho Diretor da Superintendência de Seguros Privados - Susep, em reunião extraordinária eletrônica realizada em 10 de dezembro de 2025, resolveu adotar o PARECER REFERENCIAL n. 00005/2025/GERTEC/ELIC/PGF/AGU. em anexo, como Parecer de Orientação para utilização pela Susep no âmbito dos contratos e licitações.</w:t>
      </w:r>
    </w:p>
    <w:p>
      <w:r>
        <w:t>ALESSANDRO SERAFIN OCTAVIANI</w:t>
      </w:r>
    </w:p>
    <w:p>
      <w:r>
        <w:t>ANEXO</w:t>
      </w:r>
    </w:p>
    <w:p>
      <w:r>
        <w:t>PARECER REFERENCIAL n. 00005/2025/GERTEC/ELIC/PGF/AGU</w:t>
      </w:r>
    </w:p>
    <w:p>
      <w:r>
        <w:t>NUP: 00407.059564/2025-42</w:t>
      </w:r>
    </w:p>
    <w:p>
      <w:r>
        <w:t>INTERESSADOS: EQUIPE DE LICITAÇÃO E CONTRATO - ELIC ASSUNTOS: PARECER REFERENCIAL</w:t>
      </w:r>
    </w:p>
    <w:p>
      <w:r>
        <w:t>EMENTA: Ata de Registro de Preços. Termo aditivo. Prorrogação de vigência, com fundamento no art. 84 da Lei n° 14.133, de 2021, c/c art. 22 do Decreto n° 11.462, de 2023. Recomendação para adoção do presente parecer como Parecer Referencial, na forma da Orientação Normativa AGU n.º 55, de 23 de maio de 2014, e Portaria PGF n° 262, de 5 de maio de 2017, nos casos de ausência de dúvidas jurídicas.</w:t>
      </w:r>
    </w:p>
    <w:p>
      <w:r>
        <w:t>1. Esta Manifestação Jurídica Referencial NÃO se aplica aos casos de prorrogação de vigência cumulada com reequilíbrio econômico-financeiro da ARP.</w:t>
      </w:r>
    </w:p>
    <w:p>
      <w:r>
        <w:t>2. Esta Manifestação Jurídica Referencial NÃO se aplica aos casos de prorrogação de vigência dos contratos decorrentes da ARP.</w:t>
      </w:r>
    </w:p>
    <w:p>
      <w:r>
        <w:t>I. RELATÓRIO</w:t>
      </w:r>
    </w:p>
    <w:p>
      <w:r>
        <w:t>1. OBJETO DO PARECER REFERENCIAL</w:t>
      </w:r>
    </w:p>
    <w:p>
      <w:r>
        <w:t>1. O presente Parecer Referencial aplica-se à hipótese de termo aditivo para prorrogação da vigência de ata de registro de preços (ARP), com ou sem renovação dos quantitativos inicialmente contratados, com fundamento no art. 84 da Lei n° 14.133, de 2021, e no art. 22 do Decreto n° 11.462, de 2023.</w:t>
      </w:r>
    </w:p>
    <w:p>
      <w:r>
        <w:t>2. Esta manifestação não se aplica aos casos de prorrogação de vigência cumulada com reequilíbrio econômico-financeiro da ARP (arts. 124, "d", e 134 da Lei n° 14.133, de 2021), o que demanda exame jurídico prévio específico.</w:t>
      </w:r>
    </w:p>
    <w:p>
      <w:r>
        <w:t>3. Não se aplica, também, aos casos de prorrogação de vigência dos contratos decorrentes da ARP, que tem sua vigência estabelecida em conformidade com as disposições próprias.</w:t>
      </w:r>
    </w:p>
    <w:p>
      <w:r>
        <w:t>4. O ente assessorado deverá atestar, de forma expressa, que o caso concreto se enquadra na hipótese deste parecer, nos termos do art. 3°, § 2°, da Portaria PGF/AGU n° 262, de 2017. Além disso, devem ser utilizados os modelos de termo aditivo e lista de verificação de aditamentos atualizados, quando disponibilizados pela AGU, em seu sítio eletrônico.</w:t>
      </w:r>
    </w:p>
    <w:p>
      <w:r>
        <w:t>5. A Administração poderá, a qualquer tempo, provocar a atuação do órgão de consultoria nas dúvidas jurídicas específicas que surgirem nos processos desta espécie, bem como para atualização do presente parecer.</w:t>
      </w:r>
    </w:p>
    <w:p>
      <w:r>
        <w:t>2. CABIMENTO DA MANIFESTAÇÃO JURÍDICA REFERENCIAL</w:t>
      </w:r>
    </w:p>
    <w:p>
      <w:r>
        <w:t>6. A Orientação Normativa AGU n° 55, de 2014, autoriza a adoção de manifestação jurídica referencial, que dispensa a análise individualizada de matérias que envolvam questões jurídicas idênticas e recorrentes, nos seguintes termos:</w:t>
      </w:r>
    </w:p>
    <w:p>
      <w: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7. Trata-se de medida adequada para orientar a Administração, sendo capaz de conferir segurança jurídica à sua atuação, sem a necessidade de análise individualizada desses processos pelo órgão jurídico, salvo se houver dúvida jurídica.</w:t>
      </w:r>
    </w:p>
    <w:p>
      <w:r>
        <w:t>8. A manifestação jurídica referencial é importante ferramenta para otimizar e racionalizar o trabalho, viabilizando maior dedicação às questões complexas, prioritárias, estratégicas e especializadas, que demandam uma atuação qualificada.</w:t>
      </w:r>
    </w:p>
    <w:p>
      <w:r>
        <w:t>9. Para a elaboração de manifestação jurídica referencial, devem ser observados os requisitos da Portaria PGF n° 262, de 2017, editada para disciplinar a questão: i) o volume de processos em matérias idênticas e recorrentes que acarrete sobrecarga de trabalho devidamente comprovada e venha a impactar, justificadamente, a atuação do órgão consultivo ou a celeridade dos serviços administrativos e, ii) a atividade jurídica exercida deve se restringir à verificação do atendimento das exigências legais a partir da simples conferência de documentos.</w:t>
      </w:r>
    </w:p>
    <w:p>
      <w:r>
        <w:t>10. Registra-se, assim, que a análise dos termos aditivos para prorrogação de vigência das atas de registro de preços, com fundamento no art. 84 da Lei n° 14.133, de 2021, e no art. 22 do Decreto n° 11.462, de 2023, representa significativo volume de processos e a análise jurídica se restringe à simples conferência de documentos e prazos, sem questões jurídicas relevantes, enquadrando-se nas hipóteses autorizadas pela Orientação Normativa AGU n° 55, de 2014, e pela Portaria PGF n° 262, de 2017.</w:t>
      </w:r>
    </w:p>
    <w:p>
      <w:r>
        <w:t>3. LIMITES DA ANÁLISE JURÍDICA</w:t>
      </w:r>
    </w:p>
    <w:p>
      <w:r>
        <w:t>11. Esta manifestação jurídica tem o objetivo de contribuir com o controle prévio da legalidade, conforme previsto no art. 53 da Lei n° 14.133, de 2021. Questões técnicas, como o detalhamento do objeto da contratação, suas características, requisitos e especificações, são de atribuição da Administração (art. 53 da Lei n° 14.133, de 2021, e Enunciado BPC n° 7 do Manual de Boas Práticas Consultivas da Advocacia-Geral da União).</w:t>
      </w:r>
    </w:p>
    <w:p>
      <w:r>
        <w:t>12. Exclui-se da competência da ELIC o exame de legislação específica relacionada à atividade-fim do ente assessorado que seja aplicável ao caso concreto, nos termos do art. 2° da Portaria Normativa PGF/AGU n° 73, de 2025. Tal análise deve ser feita pelo órgão de assessoramento jurídico local.</w:t>
      </w:r>
    </w:p>
    <w:p>
      <w:r>
        <w:t>13. A presente análise pressupõe a adoção dos modelos da AGU e o uso do Instrumento de Padronização dos Procedimentos de Contratação (IPP).</w:t>
      </w:r>
    </w:p>
    <w:p>
      <w:r>
        <w:t>14. Não há determinação legal de se fiscalizar o cumprimento das recomendações feitas neste parecer, conforme Boa Prática Consultiva n° 5. Caso a autoridade administrativa deixe de acatá-las, assume, inteiramente, a responsabilidade por sua conduta.</w:t>
      </w:r>
    </w:p>
    <w:p>
      <w:r>
        <w:t>II. DA FUNDAMENTAÇÃO</w:t>
      </w:r>
    </w:p>
    <w:p>
      <w:r>
        <w:t>4. REQUISITOS PARA A PRORROGAÇÃO DE VIGÊNCIA DA ARP</w:t>
      </w:r>
    </w:p>
    <w:p>
      <w:r>
        <w:t>15. A prorrogação da vigência de ata de registro de preços (ARP) está amparada no art. 84 da Lei n° 14.133, de 2021, e no art. 22 do Decreto n° 11.462, de 2023:</w:t>
      </w:r>
    </w:p>
    <w:p>
      <w:r>
        <w:t>Art. 84. O prazo de vigência da ata de registro de preços será de 1 (um) ano e poderá ser prorrogado, por igual período, desde que comprovado o preço vantajoso.</w:t>
      </w:r>
    </w:p>
    <w:p>
      <w:r>
        <w:t>Parágrafo único. O contrato decorrente da ata de registro de preços terá sua vigência estabelecida em conformidade com as disposições nela contidas.</w:t>
      </w:r>
    </w:p>
    <w:p>
      <w:r>
        <w:t>Vigência da ata de registro de preços</w:t>
      </w:r>
    </w:p>
    <w:p>
      <w:r>
        <w:t>Art. 22. O prazo de vigência da ata de registro de preços será de um ano, contado do primeiro dia útil subsequente à data de divulgação no PNCP, e poderá ser prorrogado por igual período, desde que comprovado que o preço é vantajoso.</w:t>
      </w:r>
    </w:p>
    <w:p>
      <w:r>
        <w:t>16. A Administração deverá comprovar o atendimento dos seguintes requisitos essenciais para formalizar a prorrogação:</w:t>
      </w:r>
    </w:p>
    <w:p>
      <w:r>
        <w:t>4.1 Previsão na ata de registro de preços</w:t>
      </w:r>
    </w:p>
    <w:p>
      <w:r>
        <w:t>17. Deve ser atestado nos autos que há previsão expressa de prorrogação da vigência na ata de registro de preços, conforme art. 15, IX, do Decreto n° 11.462, de 2023.</w:t>
      </w:r>
    </w:p>
    <w:p>
      <w:r>
        <w:t>18. No caso de ausência de previsão da prorrogação da ARP, haverá impedimento à celebração do termo aditivo, tendo em vista os princípios da vinculação ao instrumento convocatório e da segurança jurídica. Anote-se que a minuta padrão traz a previsão expressa e, se a Administração optar por excluir tal trecho, não poderá prorrogar a ARP.</w:t>
      </w:r>
    </w:p>
    <w:p>
      <w:r>
        <w:t>19. Registre-se que, sem previsão no ato convocatório, a lei não autoriza a renovação contratual, argumento aplicável por analogia no caso de prorrogação da ata de registro de preços.</w:t>
      </w:r>
    </w:p>
    <w:p>
      <w:r>
        <w:t>Como ensina Justen Filho (2023, p. 1343):</w:t>
      </w:r>
    </w:p>
    <w:p>
      <w:r>
        <w:t>A renovação do contrato depende de explícita autorização no ato convocatório. A omissão impede a renovação. Essa asserção deriva do princípio da segurança. Não é possível que se instaure a licitação sem explícita previsão acerca do tema. Os eventuais interessados deverão ter plena ciência da possibilidade de prorrogação.</w:t>
      </w:r>
    </w:p>
    <w:p>
      <w:r>
        <w:t>4.2 Anuência do fornecedor</w:t>
      </w:r>
    </w:p>
    <w:p>
      <w:r>
        <w:t>20. Deve ser juntada aos autos, antes da celebração do termo aditivo, a manifestação de cordância do fornecedor com a prorrogação.</w:t>
      </w:r>
    </w:p>
    <w:p>
      <w:r>
        <w:t>21. A prorrogação da ARP é um negócio jurídico bilateral, portanto, decorre de um acordo de vontade das partes, sendo necessário que o fornecedor manifeste, de forma antecipada e de maneira expressa, sua concordância em manter a relação.</w:t>
      </w:r>
    </w:p>
    <w:p>
      <w:r>
        <w:t>22. Ademais, tal medida viabiliza eventual responsabilização do fornecedor por prejuízos causados caso descumpra as obrigações estabelecidas na ata.</w:t>
      </w:r>
    </w:p>
    <w:p>
      <w:r>
        <w:t>4.3 Interesse da Administração e comprovação da vantajosidade do preço</w:t>
      </w:r>
    </w:p>
    <w:p>
      <w:r>
        <w:t>23. A Administração deve apresentar justificativa específica para a prorrogação da ARP. em razão do princípio da motivação dos atos administrativos.</w:t>
      </w:r>
    </w:p>
    <w:p>
      <w:r>
        <w:t>24. A Administração deverá, ainda, comprovar que o preço permanece vantajoso, a fim de atender a exigência do art. 84 da Lei n° 14.133, de 2021, e do art. 22 do Decreto n° 11.462, de 2023. Para tanto, deverá realizar pesquisa de preços nos termos da IN SEGES/ME n° 65/2021 e o gestor deverá atestar expressamente a manutenção da vantajosidade.</w:t>
      </w:r>
    </w:p>
    <w:p>
      <w:r>
        <w:t>4.4 Celebração do termo aditivo dentro do prazo de vigência da ARP</w:t>
      </w:r>
    </w:p>
    <w:p>
      <w:r>
        <w:t>25. A assinatura e formalização do termo aditivo deve ocorrer antes do término do prazo da vigência inicial da ARP, pois, após a extinção do prazo, sem que tenha havido, em tempo hábil, a sua prorrogação, não é juridicamente possível firmar o termo aditivo.</w:t>
      </w:r>
    </w:p>
    <w:p>
      <w:r>
        <w:t>26. Caso o prazo de vigência inicial da ARP tenha sido superado, haverá solução de continuidade, o que impede a prorrogação, nos termos do art. 132 da Lei n° 14.133/2021 e da Orientação Normativa n° 89/2024 da AGU:</w:t>
      </w:r>
    </w:p>
    <w:p>
      <w:r>
        <w:t>O prazo inicial de vigência da ata de registro de preços é necessariamente de 1 (um) ano, contado do primeiro dia útil subsequente à data de sua divulgação no PNCP, podendo ocorrer a prorrogação da vigência da ata para o período de mais um ano, desde que formalizada na vigência inicial da ata e comprovada a vantajosidade do preço registrado, tudo conforme os termos do art. 84, da Lei n° 14.133, de 2021, c/c o art. 22 do Decreto n° 11.462, de 2023. Referência: art. 84, da Lei n° 14.133, de 2021, c/c o art. 22 do Decreto n° 11.462, de 2023.</w:t>
      </w:r>
    </w:p>
    <w:p>
      <w:r>
        <w:t>27. Alerta-se que a contagem da vigência da ARP deve observar o sistema data a data e caso não seja observada essa regra, ocorrerá a extinção do ajuste e a impossibilidade da prorrogação (art. 89, caput, da Lei n° 14.133, de 2021, art. 132 do Código Civil e Conclusão DEPCONSU/PGF/AGU n° 69/2014). Nesse sentido, o Enunciado PGF n° 142:</w:t>
      </w:r>
    </w:p>
    <w:p>
      <w:r>
        <w:t>A contagem dos prazos contratuais em meses e anos deve se pautar pelo sistema data-a- data, conforme o § 3° do artigo 132 do Código Civil. Fonte: Parecer n. 00006/2014/CPLC/DEPC0NSU/PGF/AGU; Parecer n. 0345/PGF/RMP/2010. NUP00407.000072/2020-36 (Seq. 28 e 98).</w:t>
      </w:r>
    </w:p>
    <w:p>
      <w:r>
        <w:t>4.5 Manutenção das condições de habilitação</w:t>
      </w:r>
    </w:p>
    <w:p>
      <w:r>
        <w:t>28. Deverá ser certificado nos autos que o fornecedor mantém as condições iniciais de habilitação para viabilizar a prorrogação, acompanhado da documentação comprobatória.</w:t>
      </w:r>
    </w:p>
    <w:p>
      <w:r>
        <w:t>29. A Administração deverá consultar o SICAF para: a) verificar a manutenção das condições de habilitação exigidas no edital; b) identificar possível razão que impeça a prorrogação da ata. As certidões com validade eventualmente vencidas ou prestes a vencer deverão ser regularizadas como condição para a prorrogação da ata.</w:t>
      </w:r>
    </w:p>
    <w:p>
      <w:r>
        <w:t>30. Caso seja constatada, no SICAF, a existência de "Ocorrências Impeditivas Indiretas", a Administração deve analisá-las e verificar, por meio do relatório específico, se existe ou não algum impedimento à prorrogação.</w:t>
      </w:r>
    </w:p>
    <w:p>
      <w:r>
        <w:t>31. Além do SICAF, a Administração deve juntar aos autos a Consulta Consolidada de Pessoa Jurídica do TCU (disponível em https://certidoes-apf.apps.tcu.gov.br/), que contém em uma única certidão as consultas referentes ao Sistema de Inidôneos do TCU; ao Cadastro Nacional de Empresas Inidôneas e Suspensas - Ceis/Portal de Transparência; ao Cadastro Nacional de Empresas Punidas- CNEP/Portal da Transparência; e ao Cadastro Nacional de Condenações Cíveis por Atos de Improbidade Administrativa do CNJ (CNIA/CNJ).</w:t>
      </w:r>
    </w:p>
    <w:p>
      <w:r>
        <w:t>32. A existência de irregularidades no SICAF ou na Consulta Consolidada de Pessoa Jurídica do TCU não impede, a princípio, a prorrogação da ata de registro de preços, que possui natureza distinta do contrato e não implica em dispêndio de recursos. Contudo, é necessário analisar a natureza da irregularidade, pois havendo impedimento intransponível a uma futura contratação, a Administração pode rever o interesse público na prorrogação da ata.</w:t>
      </w:r>
    </w:p>
    <w:p>
      <w:r>
        <w:t>5. RENOVAÇÃO DOS QUANTITATIVOS</w:t>
      </w:r>
    </w:p>
    <w:p>
      <w:r>
        <w:t>33. No âmbito da Advocacia-Geral da União foi firmado o entendimento de que é possível a renovação dos quantitativos inicialmente registrados na ata no caso de sua prorrogação, desde que cumpridos os requisitos estabelecidos no PARECER n. 00015/2024/CPLC/SUBCONSU/PGF/AGU e no PARECER n. 00075/2024/DECOR/CGU/AGU (NUP 71000.062490/2024-61, seq. 58 e 61, respectivamente).</w:t>
      </w:r>
    </w:p>
    <w:p>
      <w:r>
        <w:t>34. Assim, caso a Administração pretenda, no mesmo termo aditivo, renovar os quantitativos inicialmente registrados na ARP, deverá observar os seguintes requisitos:</w:t>
      </w:r>
    </w:p>
    <w:p>
      <w:r>
        <w:t>5.1 Previsão no instrumento convocatório</w:t>
      </w:r>
    </w:p>
    <w:p>
      <w:r>
        <w:t>35. Deve ser atestado nos autos que há previsão expressa da renovação dos quantitativos no instrumento convocatório.</w:t>
      </w:r>
    </w:p>
    <w:p>
      <w:r>
        <w:t>36. Na ausência dessa previsão, haverá impedimento para a renovação dos quantitativos da ata, podendo a Administração prosseguir apenas com o saldo remanescente da ata.</w:t>
      </w:r>
    </w:p>
    <w:p>
      <w:r>
        <w:t>5.2 Análise na fase de planejamento</w:t>
      </w:r>
    </w:p>
    <w:p>
      <w:r>
        <w:t>37. A Administração deve certificar nos autos que houve análise da renovação dos quantitativos na fase de planejamento.</w:t>
      </w:r>
    </w:p>
    <w:p>
      <w:r>
        <w:t>5.3 Observância do quantitativo da ata como limite</w:t>
      </w:r>
    </w:p>
    <w:p>
      <w:r>
        <w:t>38. O termo aditivo deve prever o quantitativo para contratação futura dentro do limite definido na ata de registro de preços para o período de um ano, de forma a caracterizar-se a renovação dos quantitativos para o prazo prorrogado de vigência.</w:t>
      </w:r>
    </w:p>
    <w:p>
      <w:r>
        <w:t>39. Caso o quantitativo previsto no termo aditivo extrapole o limite definido na ata de registro de preços para o período de um ano, a Administração deverá promover a adequação como condição para a formalização do termo aditivo.</w:t>
      </w:r>
    </w:p>
    <w:p>
      <w:r>
        <w:t>40. É importante registrar que a renovação de quantitativos não significa acréscimo nos quantitativos registrados, o que é vedado pelo art. 23 do Decreto n° 11.462, de 2023.</w:t>
      </w:r>
    </w:p>
    <w:p>
      <w:r>
        <w:t>5.4 Outros requisitos</w:t>
      </w:r>
    </w:p>
    <w:p>
      <w:r>
        <w:t>41. A análise dos demais requisitos, como a comprovação da vantajosidade e a celebração do termo aditivo dentro do prazo de vigência, foi realizada no tópico anterior deste parecer e devem ser observados pela Administração.</w:t>
      </w:r>
    </w:p>
    <w:p>
      <w:r>
        <w:t>6. MINUTA DE TERMO ADITIVO</w:t>
      </w:r>
    </w:p>
    <w:p>
      <w:r>
        <w:t>42. A minuta de termo aditivo deve conter cláusulas que disponham sobre:</w:t>
      </w:r>
    </w:p>
    <w:p>
      <w:r>
        <w:t>a) o objeto da ARP, para que se verifique a relação do aditivo com o objeto original;</w:t>
      </w:r>
    </w:p>
    <w:p>
      <w:r>
        <w:t>b) o prazo de vigência da prorrogação, atentando-se que deve ser de 1 (um) ano, conforme art. 84 da Lei n° 14.133, de 2021;</w:t>
      </w:r>
    </w:p>
    <w:p>
      <w:r>
        <w:t>c) se for o caso, a renovação dos quantitativos inicialmente registrados, sem qualquer acréscimo em relação aos quantitativos originários;</w:t>
      </w:r>
    </w:p>
    <w:p>
      <w:r>
        <w:t>d) a ratificação das cláusulas contratuais não alteradas pelo termo aditivo; e</w:t>
      </w:r>
    </w:p>
    <w:p>
      <w:r>
        <w:t>e) local, data e assinatura das partes e testemunhas.</w:t>
      </w:r>
    </w:p>
    <w:p>
      <w:r>
        <w:t>43. Devem constar da minuta os termos adequados tecnicamente para identificação das partes: "Gerenciador" e "Fornecedor", em substituição à "Contratante" e "Contratado", uma vez que a ata não tem natureza contratual.</w:t>
      </w:r>
    </w:p>
    <w:p>
      <w:r>
        <w:t>44. Recomenda-se que o órgão assessorado utilize as minutas de aditivos e lista de verificação constantes do sítio eletrônico da AGU, quando disponibilizadas.</w:t>
      </w:r>
    </w:p>
    <w:p>
      <w:r>
        <w:t>45. É importante lembrar que deverá ser adotado o sistema data a data para a contagem da vigência do termo aditivo, de acordo com o Enunciado Consultivo PGF n° 143:</w:t>
      </w:r>
    </w:p>
    <w:p>
      <w:r>
        <w:t>143 LICITAÇÕES</w:t>
      </w:r>
    </w:p>
    <w:p>
      <w:r>
        <w:t>Os termos de contrato devem indicar como início de sua vigência a data de sua assinatura ou outra data expressamente apontada no instrumento contratual, ainda que anterior ou posterior à publicação, não se devendo condicionar o início de sua vigência à publicação do extrato de que trata o artigo 61, parágrafo único, da lei n. 8.666, de 1993. Fonte: Parecer n. 00006/2014/CPLC/DEPCONSU/PGF/AGU e Parecer n.0345/PGF/RMP/2010.NUP 00407.000072/2020-36 (Seq. 28 e 98).</w:t>
      </w:r>
    </w:p>
    <w:p>
      <w:r>
        <w:t>46. Os dados do preâmbulo, como o nome dos representantes legais, endereços, dentre outros, devem ser verificados pela própria Administração a partir dos documentos que constam dos autos.</w:t>
      </w:r>
    </w:p>
    <w:p>
      <w:r>
        <w:t>47. Registre-se que o Parecer n. 00004/2022/CNMLC/CGU/AGU (disponível no NUP: 00688.000716/2019-43), que trata da aplicação da Lei Geral de Proteção de Dados nos modelos de licitação e contratos, fixou o entendimento de que, nos contratos administrativos, " [...] não constem os números de documentos pessoais das pessoas naturais que irão assiná-los, como ocorre normalmente com os representantes da Administração e da empresa contratada.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 8.666, de 1993, e o §1° do art. 89 da Lei n° 14.133, de 1° de abril de 2021, exigem apenas esse dado".</w:t>
      </w:r>
    </w:p>
    <w:p>
      <w:r>
        <w:t>48. Deixa-se registrado que, por se tratar de Sistema de Registro de Preços, não há necessidade de comprovação da disponibilidade orçamentária para assinatura da ata e, por consequência, para sua prorrogação, conforme art. 17 do Decreto n° 11.462, de 2023.</w:t>
      </w:r>
    </w:p>
    <w:p>
      <w:r>
        <w:t>7. DA PUBLICIDADE E DA LEI DE ACESSO À INFORMAÇÃO</w:t>
      </w:r>
    </w:p>
    <w:p>
      <w:r>
        <w:t>49. É obrigatória a divulgação da prorrogação da ata no Portal Nacional de Contratações Públicas (PNCP), na forma prevista no art. 94 da Lei n° 14.133, de 2021, bem como no respectivo sítio oficial na Internet, em atenção ao art. 91, caput, da Lei n° 14.133, de 2021, e ao art. 8°, § 2°, da Lei n° 12.527, de 2011, c/c art. 7°, § 3°, inciso V, do Decreto n° 7.724, de 2012.</w:t>
      </w:r>
    </w:p>
    <w:p>
      <w:r>
        <w:t>8. ATESTADO DE ADEQUAÇÃO DO PROCESSO AO PARECER REFERENCIAL</w:t>
      </w:r>
    </w:p>
    <w:p>
      <w:r>
        <w:t>50. Deverá o órgão assessorado informar, sempre que solicitado, a relação dos processos, com respectivo NUP, em que a presente manifestação jurídica referencial tenha sido adotada. Recomenda-se, ademais, o preenchimento e juntada aos autos da seguinte declaração:</w:t>
      </w:r>
    </w:p>
    <w:p>
      <w:r>
        <w:t>ATESTADO DE CONFORMIDADE DO PROCESSO COM O PARECER REFERENCIAL</w:t>
      </w:r>
    </w:p>
    <w:p>
      <w:r>
        <w:t>Processo:</w:t>
      </w:r>
    </w:p>
    <w:p>
      <w:r>
        <w:t>Referência/objeto: prorrogação de vigência de ata de registro de preços</w:t>
      </w:r>
    </w:p>
    <w:p>
      <w:r>
        <w:t>Atesto que o caso concreto dos presentes autos adequa-se à hipótese analisada pelo PARECER REFERENCIAL n° 00005/2025/GERTEC/ELIC/PGF/AGU, cujas recomendações foram integralmente atendidas, de acordo com o que está consignado na lista de verificação juntada aos autos.</w:t>
      </w:r>
    </w:p>
    <w:p>
      <w:r>
        <w:t>Fica, assim, dispensada a remessa dos autos para exame individualizado pela Procuradoria Federal Especializada junto à autarquia/fundação, nos termos da Portaria PGF/AGU n° 262, de 5 de maio de 2017, e Orientação Normativa n° 55 da Advocacia Geral da União.</w:t>
      </w:r>
    </w:p>
    <w:p>
      <w:r>
        <w:t>..........................................de......................................de 20......</w:t>
      </w:r>
    </w:p>
    <w:p>
      <w:r>
        <w:t>____________________________</w:t>
      </w:r>
    </w:p>
    <w:p>
      <w:r>
        <w:t>Identificação e assinatura</w:t>
      </w:r>
    </w:p>
    <w:p>
      <w:r>
        <w:t>III. CONCLUSÃO</w:t>
      </w:r>
    </w:p>
    <w:p>
      <w:r>
        <w:t>51. Em face do exposto, nos limites da análise jurídica e excluídos os aspectos técnicos e o juízo de oportunidade e conveniência do ajuste, caso sejam preenchidos todos os requisitos constantes deste Parecer Referencial, considera-se juridicamente regular a prorrogação (art. 53, § 4°, da Lei n° 14.133, de 2021).</w:t>
      </w:r>
    </w:p>
    <w:p>
      <w:r>
        <w:t>52.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que a situação concreta se amolda aos termos desta manifestação, conforme modelo presente no item 50.</w:t>
      </w:r>
    </w:p>
    <w:p>
      <w:r>
        <w:t>53. Caso haja dúvida jurídica, o processo deve ser remetido ao órgão de consultoria para exame individualizado, com a formulação dos questionamentos específicos, nos moldes da Portaria PGF n° 526, de 2013.</w:t>
      </w:r>
    </w:p>
    <w:p>
      <w:r>
        <w:t>54. As orientações emanadas dos pareceres jurídicos, ainda que apenas opinativos, devem ser seguidas ou, caso contrário, justificadas no corpo do processo.</w:t>
      </w:r>
    </w:p>
    <w:p>
      <w:r>
        <w:t>55. Por fim, não há determinação legal para fiscalização posterior de cumprimento de recomendações feitas (BPC n° 5).</w:t>
      </w:r>
    </w:p>
    <w:p>
      <w:r>
        <w:t>56 É o parecer, segundo o entendimento consolidado da ELIC, elaborado por meio do Sistema AGU de Inteligência Jurídica (Sapiens), assinado digitalmente, consoante os objetivos de eficiência, padronização e uniformidade na atividade submetida à sua consultoria jurídica (art. 1°, incisos I e II, e art. 3°, inciso II, da Portaria Normativa PGF/AGU n° 73, de 2025).</w:t>
      </w:r>
    </w:p>
    <w:p>
      <w:r>
        <w:t>Brasília, 21 de julho de 2025.</w:t>
      </w:r>
    </w:p>
    <w:p>
      <w:pPr>
        <w:pStyle w:val="Heading2"/>
      </w:pPr>
      <w:r>
        <w:t>PARECER DE ORIENTAÇÃO N° 6/2026/SUSEP</w:t>
      </w:r>
    </w:p>
    <w:p>
      <w:pPr>
        <w:pStyle w:val="ListBullet"/>
      </w:pPr>
      <w:r>
        <w:t>Ementa: Direito Administrativo. Licitações e Contratos. Pregão Eletrônico. Sistema de Registro de Preços. Aquisições. Critério de julgamento pelo menor preço. Recomendação para adoção do presente parecer como Parecer Referencial, na forma da Orientação Normativa AGU n.º 55, de 23 de maio de 2014, e Portaria PGF n. 262, de 5 de maio de 2017, nos casos de ausência de dúvidas jurídicas.</w:t>
      </w:r>
    </w:p>
    <w:p>
      <w:r>
        <w:t>Categoria: Ministério da Fazenda/Superintendência de Seguros Privados</w:t>
      </w:r>
    </w:p>
    <w:p>
      <w:r>
        <w:t>Página: 60</w:t>
      </w:r>
    </w:p>
    <w:p/>
    <w:p>
      <w:r>
        <w:t>PARECER DE ORIENTAÇÃO N° 6/2026/SUSEP</w:t>
      </w:r>
    </w:p>
    <w:p>
      <w:r>
        <w:t>Direito Administrativo. Licitações e Contratos. Pregão Eletrônico. Sistema de Registro de Preços. Aquisições. Critério de julgamento pelo menor preço. Recomendação para adoção do presente parecer como Parecer Referencial, na forma da Orientação Normativa AGU n.º 55, de 23 de maio de 2014, e Portaria PGF n. 262, de 5 de maio de 2017, nos casos de ausência de dúvidas jurídicas.</w:t>
      </w:r>
    </w:p>
    <w:p>
      <w:r>
        <w:t>O Conselho Diretor da Superintendência de Seguros Privados - Susep, em reunião extraordinária eletrônica realizada em 10 de dezembro de 2025, resolveu adotar o PARECER REFERENCIAL n. 00006/2025/GERTEC/ELIC/PGF/AGU. em anexo, como Parecer de Orientação para utilização pela Susep no âmbito dos contratos e licitações.</w:t>
      </w:r>
    </w:p>
    <w:p>
      <w:r>
        <w:t>ALESSANDRO SERAFIN OCTAVIANI LUIS</w:t>
      </w:r>
    </w:p>
    <w:p>
      <w:r>
        <w:t>ANEXO</w:t>
      </w:r>
    </w:p>
    <w:p>
      <w:r>
        <w:t>PARECER REFERENCIAL n. 00006/2025/GERTEC/ELIC/PGF/AGU</w:t>
      </w:r>
    </w:p>
    <w:p>
      <w:r>
        <w:t>NUP: 00407.059564/2025-42</w:t>
      </w:r>
    </w:p>
    <w:p>
      <w:r>
        <w:t>INTERESSADOS: EQUIPE DE LICITAÇÃO E CONTRATO - ELIC ASSUNTO: PARECER REFERENCIAL</w:t>
      </w:r>
    </w:p>
    <w:p>
      <w:r>
        <w:t>EMENTA: Direito Administrativo. Licitações e Contratos. Pregão Eletrônico. Sistema de Registro de Preços. Aquisições. Critério de julgamento pelo menor preço. Recomendação para adoção do presente parecer como Parecer Referencial, na forma da Orientação Normativa AGU n.º 55, de 23 de maio de 2014, e Portaria PGF n. 262, de 5 de maio de 2017, nos casos de ausência de dúvidas jurídicas.</w:t>
      </w:r>
    </w:p>
    <w:p>
      <w:r>
        <w:t>I. Esta Manifestação Jurídica Referencial se aplica aos procedimentos licitatórios para aquisição de bens comuns, na modalidade pregão eletrônico, processados ou não pelo Sistema de Registro de Preços, com critério de julgamento pelo menor preço e valor estimado da contratação igual ou inferior a R$ 1.000.000,00 (um milhão de reais).</w:t>
      </w:r>
    </w:p>
    <w:p>
      <w:r>
        <w:t>II . Esta Manifestação Jurídica Referencial não se aplica aos procedimentos licitatórios destinados à aquisição de:</w:t>
      </w:r>
    </w:p>
    <w:p>
      <w:r>
        <w:t>a) gêneros alimentícios;</w:t>
      </w:r>
    </w:p>
    <w:p>
      <w:r>
        <w:t>b) bens que sejam caracterizados como solução de tecnologia da informação - TIC;</w:t>
      </w:r>
    </w:p>
    <w:p>
      <w:r>
        <w:t>c) gás liquefeito de petróleo;</w:t>
      </w:r>
    </w:p>
    <w:p>
      <w:r>
        <w:t>d) bens com serviços agregados e que estejam sendo licitados como itens separados.</w:t>
      </w:r>
    </w:p>
    <w:p>
      <w:r>
        <w:t>III. Esta Manifestação Jurídica Referencial não se aplica, ainda, aos procedimentos licitatórios destinados à aquisição internacional.</w:t>
      </w:r>
    </w:p>
    <w:p>
      <w:r>
        <w:t>I. RELATORIO</w:t>
      </w:r>
    </w:p>
    <w:p>
      <w:r>
        <w:t>1. OBJETO DO PARECER REFERENCIAL</w:t>
      </w:r>
    </w:p>
    <w:p>
      <w:r>
        <w:t>1. O presente Parecer Referencial se aplica a:</w:t>
      </w:r>
    </w:p>
    <w:tbl>
      <w:tblPr>
        <w:tblW w:type="auto" w:w="0"/>
        <w:tblLook w:firstColumn="1" w:firstRow="1" w:lastColumn="0" w:lastRow="0" w:noHBand="0" w:noVBand="1" w:val="04A0"/>
      </w:tblPr>
      <w:tblGrid>
        <w:gridCol w:w="8640"/>
      </w:tblGrid>
      <w:tr>
        <w:tc>
          <w:tcPr>
            <w:tcW w:type="dxa" w:w="8640"/>
          </w:tcPr>
          <w:p/>
        </w:tc>
      </w:tr>
      <w:tr>
        <w:tc>
          <w:tcPr>
            <w:tcW w:type="dxa" w:w="8640"/>
          </w:tcPr>
          <w:p>
            <w:r>
              <w:t>procedimentos licitatórios para aquisição de bens comuns, na modalidade pregão eletrônico, processados ou não pelo Sistema de Registro de Preços, com critério de julgamento pelo menor preço e valor estimado da contratação igual ou inferior a R$ 1.000.000,00 (um milhão de reais).</w:t>
            </w:r>
          </w:p>
        </w:tc>
      </w:tr>
    </w:tbl>
    <w:p/>
    <w:p>
      <w:r>
        <w:t>procedimentos licitatórios para aquisição de bens comuns, na modalidade pregão eletrônico, processados ou não pelo Sistema de Registro de Preços, com critério de julgamento pelo menor preço e valor estimado da contratação igual ou inferior a R$ 1.000.000,00 (um milhão de reais).</w:t>
      </w:r>
    </w:p>
    <w:p>
      <w:r>
        <w:t>2. Esta manifestação não se aplica aos procedimentos licitatórios destinados à:</w:t>
      </w:r>
    </w:p>
    <w:tbl>
      <w:tblPr>
        <w:tblW w:type="auto" w:w="0"/>
        <w:tblLook w:firstColumn="1" w:firstRow="1" w:lastColumn="0" w:lastRow="0" w:noHBand="0" w:noVBand="1" w:val="04A0"/>
      </w:tblPr>
      <w:tblGrid>
        <w:gridCol w:w="8640"/>
      </w:tblGrid>
      <w:tr>
        <w:tc>
          <w:tcPr>
            <w:tcW w:type="dxa" w:w="8640"/>
          </w:tcPr>
          <w:p/>
        </w:tc>
      </w:tr>
      <w:tr>
        <w:tc>
          <w:tcPr>
            <w:tcW w:type="dxa" w:w="8640"/>
          </w:tcPr>
          <w:p>
            <w:r>
              <w:t>a. aquisição de gêneros alimentícios; b. aquisição de bens que sejam caracterizados como solução de tecnologia da informação - TIC; c. aquisição de gás liquefeito de petróleo (GLP); d. aquisição de bens com serviços agregados e que estejam sendo licitados como itens separados; e. aquisição internacional.</w:t>
            </w:r>
          </w:p>
        </w:tc>
      </w:tr>
    </w:tbl>
    <w:p/>
    <w:p>
      <w:r>
        <w:t>a. aquisição de gêneros alimentícios;</w:t>
      </w:r>
    </w:p>
    <w:p>
      <w:r>
        <w:t>b. aquisição de bens que sejam caracterizados como solução de tecnologia da informação - TIC;</w:t>
      </w:r>
    </w:p>
    <w:p>
      <w:r>
        <w:t>c. aquisição de gás liquefeito de petróleo (GLP);</w:t>
      </w:r>
    </w:p>
    <w:p>
      <w:r>
        <w:t>d. aquisição de bens com serviços agregados e que estejam sendo licitados como itens separados;</w:t>
      </w:r>
    </w:p>
    <w:p>
      <w:r>
        <w:t>e. aquisição internacional.</w:t>
      </w:r>
    </w:p>
    <w:p>
      <w:r>
        <w:t>3. O ente assessorado deverá atestar, de forma expressa, que o caso concreto se enquadra nas hipóteses deste parecer, nos termos do art. 3°, § 2°, da Portaria PGF/AGU n. 262, de 2017. Além disso, devem ser utilizados os modelos de minutas de termo de referência, edital, contrato, ata de registro de preços e lista de verificação atualizados e disponibilizados pela AGU, em seu sítio eletrônico.</w:t>
      </w:r>
    </w:p>
    <w:p>
      <w:r>
        <w:t>4. A Administração poderá, a qualquer tempo, provocar a atuação do órgão de consultoria nas dúvidas jurídicas específicas que surgirem nos processos desta espécie, bem como para atualização do presente parecer.</w:t>
      </w:r>
    </w:p>
    <w:p>
      <w:r>
        <w:t>5 . Recomenda-se, desde já, elaborar o edital por meio do sistema "Gera AGU", acessível em https://cgu.agu.gov.br/edital/. Trata-se de ferramenta disponibilizada pela AGU para criação de editais de pregão e concorrência, conforme os modelos padronizados, com possibilidade de adaptar ao caso concreto. A utilização dessa ferramenta garante celeridade, padronização, redução de falhas e adequação às normas vigentes.</w:t>
      </w:r>
    </w:p>
    <w:p>
      <w:r>
        <w:t>6. Recomenda-se, ainda, que o planejamento da contratação seja realizado em conformidade com as diretrizes constantes do Instrumento de Padronização dos Procedimentos de Contratação (IPP), que se encontra disponível em: https://www.gov.br/agu/pt-br/comunicacao/noticias/instrumento-de-padronizacao-dos- procedimentos.pdf. Além disso, devem ser juntadas aos autos as declarações contidas no referido documento.</w:t>
      </w:r>
    </w:p>
    <w:p>
      <w:r>
        <w:t>Recomendação:</w:t>
      </w:r>
    </w:p>
    <w:p>
      <w:r>
        <w:t>7. O ente assessorado deverá atestar, de forma expressa:</w:t>
      </w:r>
    </w:p>
    <w:tbl>
      <w:tblPr>
        <w:tblW w:type="auto" w:w="0"/>
        <w:tblLook w:firstColumn="1" w:firstRow="1" w:lastColumn="0" w:lastRow="0" w:noHBand="0" w:noVBand="1" w:val="04A0"/>
      </w:tblPr>
      <w:tblGrid>
        <w:gridCol w:w="8640"/>
      </w:tblGrid>
      <w:tr>
        <w:tc>
          <w:tcPr>
            <w:tcW w:type="dxa" w:w="8640"/>
          </w:tcPr>
          <w:p/>
        </w:tc>
      </w:tr>
      <w:tr>
        <w:tc>
          <w:tcPr>
            <w:tcW w:type="dxa" w:w="8640"/>
          </w:tcPr>
          <w:p>
            <w:r>
              <w:t>a. que o caso concreto se enquadra na hipótese deste parecer, nos termos do art. 3°, § 2°, da Portaria PGF/AGU n. 262, de 2017; b. o atendimento às recomendações deste parecer, nos termos do modelo de atestado de adequação que consta ao final deste parecer; c. a utilização dos modelos de termo de referência, edital, contrato, ata de registro de preços e lista de verificação atualizados, disponibilizados pela Advocacia-Geral da União (AGU), em seu sítio eletrônico; d. qual modelo foi utilizado;</w:t>
            </w:r>
          </w:p>
        </w:tc>
      </w:tr>
      <w:tr>
        <w:tc>
          <w:tcPr>
            <w:tcW w:type="dxa" w:w="8640"/>
          </w:tcPr>
          <w:p>
            <w:r>
              <w:t>e. as modificações, exclusões, inclusões ou adaptações eventualmente efetuadas, acompanhadas das respectivas justificativas; f. observar o IPP e juntar as respectivas declarações.</w:t>
            </w:r>
          </w:p>
        </w:tc>
      </w:tr>
    </w:tbl>
    <w:p/>
    <w:p>
      <w:r>
        <w:t>a. que o caso concreto se enquadra na hipótese deste parecer, nos termos do art. 3°, § 2°, da Portaria PGF/AGU n. 262, de 2017;</w:t>
      </w:r>
    </w:p>
    <w:p>
      <w:r>
        <w:t>b. o atendimento às recomendações deste parecer, nos termos do modelo de atestado de adequação que consta ao final deste parecer;</w:t>
      </w:r>
    </w:p>
    <w:p>
      <w:r>
        <w:t>c. a utilização dos modelos de termo de referência, edital, contrato, ata de registro de preços e lista de verificação atualizados, disponibilizados pela Advocacia-Geral da União (AGU), em seu sítio eletrônico;</w:t>
      </w:r>
    </w:p>
    <w:p>
      <w:r>
        <w:t>d. qual modelo foi utilizado;</w:t>
      </w:r>
    </w:p>
    <w:p>
      <w:r>
        <w:t>e. as modificações, exclusões, inclusões ou adaptações eventualmente efetuadas, acompanhadas das respectivas justificativas;</w:t>
      </w:r>
    </w:p>
    <w:p>
      <w:r>
        <w:t>f. observar o IPP e juntar as respectivas declarações.</w:t>
      </w:r>
    </w:p>
    <w:p>
      <w:r>
        <w:t>2. CABIMENTO DA MANIFESTAÇÃO JURÍDICA REFERENCIAL</w:t>
      </w:r>
    </w:p>
    <w:p>
      <w:r>
        <w:t>8. A Orientação Normativa AGU n. 55, de 2014, autoriza a adoção de manifestação jurídica referencial, que dispensa a análise individualizada de matérias que envolvam questões jurídicas idênticas e recorrentes, nos seguintes termos:</w:t>
      </w:r>
    </w:p>
    <w:p>
      <w: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9. Trata-se de medida adequada para orientar a Administração, sendo capaz de conferir segurança jurídica à sua atuação, sem a necessidade de análise individualizada desses processos pelo órgão jurídico, salvo se houver dúvida jurídica.</w:t>
      </w:r>
    </w:p>
    <w:p>
      <w:r>
        <w:t>10. A manifestação jurídica referencial é importante ferramenta para otimizar e racionalizar o trabalho, viabilizando maior dedicação às questões complexas, prioritárias, estratégicas e especializadas, que demandam uma atuação qualificada.</w:t>
      </w:r>
    </w:p>
    <w:p>
      <w:r>
        <w:t>11. Para a elaboração de manifestação jurídica referencial, devem ser observados os requisitos da Portaria PGF n. 262, de 2017, editada para disciplinar a questão: i) o volume de processos em matérias idênticas e recorrentes que acarrete sobrecarga de trabalho devidamente comprovada e venha a impactar, justificadamente, a atuação do órgão consultivo ou a celeridade dos serviços administrativos e, ii) a atividade jurídica exercida deve se restringir à verificação do atendimento das exigências legais a partir da simples conferência de documentos.</w:t>
      </w:r>
    </w:p>
    <w:p>
      <w:r>
        <w:t>12. Considerando que a análise dos editais de pregão eletrônico para aquisições, com valor igual ou inferior a R$ 1.000.000,00 (um milhão de reais): (i) representa significativo volume de processos na equipe; (ii) há minutas padrão atualizadas periodicamente pela AGU, com notas explicativas das questões jurídicas relevantes; (iii) a análise jurídica do edital e demais artefatos é mais simples do que os demais procedimentos licitatórios; e (iv) há possibilidade individualizada de consulta facultativa caso exista dúvida jurídica específica, considera-se que há enquadramento nas hipóteses autorizadas pela Orientação Normativa AGU n. 55, de 2014, e pela Portaria PGF n. 262, de 2017.</w:t>
      </w:r>
    </w:p>
    <w:p>
      <w:r>
        <w:t>3. LIMITES DA ANÁLISE JURÍDICA</w:t>
      </w:r>
    </w:p>
    <w:p>
      <w:r>
        <w:t>13. Esta manifestação jurídica tem o objetivo de contribuir com o controle prévio da legalidade, conforme previsto no art. 53 da Lei n. 14.133, de 2021. Questões técnicas, como o detalhamento do objeto da contratação, suas características, requisitos e especificações, são de atribuição da Administração (art. 53 da Lei n. 14.133, de 2021, e Enunciado BPC n. 7 do Manual de Boas Práticas Consultivas da Advocacia-Geral da União).</w:t>
      </w:r>
    </w:p>
    <w:p>
      <w:r>
        <w:t>14. Exclui-se da competência da ELIC o exame de legislação específica relacionada à atividade-fim do ente assessorado que seja aplicável ao caso concreto, nos termos do art. 2° da Portaria Normativa PGF/AGU n. 73, de 2025. Tal análise deve ser feita pelo órgão de assessoramento jurídico local.</w:t>
      </w:r>
    </w:p>
    <w:p>
      <w:r>
        <w:t>15. A presente análise pressupõe a adoção dos modelos da AGU e o uso do Instrumento de Padronização dos Procedimentos de Contratação (IPP).</w:t>
      </w:r>
    </w:p>
    <w:p>
      <w:r>
        <w:t>16. Não há determinação legal de se fiscalizar o cumprimento das recomendações feitas neste parecer, conforme Boa Prática Consultiva n. 5. Caso a autoridade administrativa deixe de acatá-las, assume, inteiramente, a responsabilidade por sua conduta.</w:t>
      </w:r>
    </w:p>
    <w:p>
      <w:r>
        <w:t>II. DA FUNDAMENTAÇÃO</w:t>
      </w:r>
    </w:p>
    <w:p>
      <w:r>
        <w:t>4. CONTRATAÇÃO ESTIMADA DE BAIXO VALOR</w:t>
      </w:r>
    </w:p>
    <w:p>
      <w:r>
        <w:t>17. Caso o valor estimado da licitação se encontre dentro dos limites do art. 75, II, da Lei n. 14.133, de 2021, está autorizada, em tese, a dispensa de licitação.</w:t>
      </w:r>
    </w:p>
    <w:p>
      <w:r>
        <w:t>18. Nesse caso, recomenda-se que a Administração avalie a possibilidade e a vantajosidade de contratação direta do objeto, desde que atendidos os respectivos requisitos. Deve ser considerado, ainda, o custo-benefício e o tempo do processo administrativo na dispensa de licitação e no pregão, em atendimento aos princípios constitucionais da eficiência e da economicidade.</w:t>
      </w:r>
    </w:p>
    <w:p>
      <w:r>
        <w:t>19. O Portal de Compras do Governo Federal tem orientação no mesmo sentido, que pode ser acessada em https://www.gov.br/compras/pt-br/agente-publico/orientacoes-e- procedimentos/40-recomendacao-sobre-a-priorizacao-do-uso-da-dispensa-de-licitacao-na-sua- forma-eletronica-atualizada.</w:t>
      </w:r>
    </w:p>
    <w:p>
      <w:r>
        <w:t>20. No momento de elaboração do presente parecer referencial, o limite para a contratação de baixo valor encontra-se atualizado pelo Decreto n. 12.343, de 2024: (i) para compras e serviços em geral (excetuado os de engenharia) é de R$ 62.725,59.</w:t>
      </w:r>
    </w:p>
    <w:p>
      <w:r>
        <w:t>21. Registre-se que a Orientação Normativa da Advocacia-Geral da União n. 69/2021 dispõe sobre a não obrigatoriedade de análise jurídica em dispensas e inexigibilidades de pequeno valor:</w:t>
      </w:r>
    </w:p>
    <w:p>
      <w:r>
        <w:t>Não é obrigatória manifestação jurídica nas contratações diretas de pequeno valor com fundamento no art. 75, I ou II, e § 3° da Lei n. 14.133, de 1° de abril de 2021, salvo se houver celebração de contrato administrativo e este não for padronizado pelo órgão de assessoramento jurídico, ou nas hipóteses em que o administrador tenha suscitado dúvida a respeito da legalidade da dispensa de licitação. Aplica-se o mesmo entendimento às contratações diretas fundadas no art. 74, da Lei n. 14.133, de 2021, desde que seus valores não ultrapassem os limites previstos nos incisos I e II do art. 75, da Lei n. 14.133, de 2021.</w:t>
      </w:r>
    </w:p>
    <w:p>
      <w:r>
        <w:t>5. NORMAS DE GOVERNANÇA</w:t>
      </w:r>
    </w:p>
    <w:p>
      <w:r>
        <w:t>22. Deve ser observado o Decreto n. 10.193, de 2019, que estabelece limites e instâncias de governança para a contratação de bens e serviços no âmbito da Administração Pública Federal, para as atividades de custeio. A Portaria ME n. 7.828, de 2022, estabelece normas complementares para o cumprimento do Decreto.</w:t>
      </w:r>
    </w:p>
    <w:p>
      <w:r>
        <w:t>23. Ressalte-se que as disposições do Decreto n. 10.193, de 2019, não se aplicam às agências reguladoras, nos termos de seu art. 1°, parágrafo único, II.</w:t>
      </w:r>
    </w:p>
    <w:p>
      <w:r>
        <w:t>24. Também deverá ser cumprido o Decreto n. 8.540, de 2015, que trata das medidas de racionalização do gasto público nas contratações para aquisição de bens e prestação de serviços pela Administração.</w:t>
      </w:r>
    </w:p>
    <w:p>
      <w:r>
        <w:t>Recomendação:</w:t>
      </w:r>
    </w:p>
    <w:p>
      <w:r>
        <w:t>25.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a autorização para celebrar a contratação, para as atividades de custeio (art. 3° do Decreto n. 10.193, de 2019); b. juntar tal autorização aos autos antes da efetiva contratação; c. certificar-se da obediência das regras internas de competência (art. 3° da Portaria ME n. 7.828, de 2022); d. manifestar-se acerca da essencialidade e o interesse público da contratação (art. 3° do Decreto n. 8.540, de 2015).</w:t>
            </w:r>
          </w:p>
        </w:tc>
      </w:tr>
    </w:tbl>
    <w:p/>
    <w:p>
      <w:r>
        <w:t>a. comprovar a autorização para celebrar a contratação, para as atividades de custeio (art. 3° do Decreto n. 10.193, de 2019);</w:t>
      </w:r>
    </w:p>
    <w:p>
      <w:r>
        <w:t>b. juntar tal autorização aos autos antes da efetiva contratação;</w:t>
      </w:r>
    </w:p>
    <w:p>
      <w:r>
        <w:t>c. certificar-se da obediência das regras internas de competência (art. 3° da Portaria ME n. 7.828, de 2022);</w:t>
      </w:r>
    </w:p>
    <w:p>
      <w:r>
        <w:t>d. manifestar-se acerca da essencialidade e o interesse público da contratação (art. 3° do Decreto n. 8.540, de 2015).</w:t>
      </w:r>
    </w:p>
    <w:p>
      <w:r>
        <w:t>6. UTILIZAÇÃO DO PREGÃO ELETRÔNICO</w:t>
      </w:r>
    </w:p>
    <w:p>
      <w:r>
        <w:t>26. A escolha pelo pregão eletrônico deve ser justificada pela natureza jurídica do objeto da contratação, sendo obrigatória para bens e serviços considerados comuns, conforme arts. 29 e 6°, inciso XLI, da Lei n. 14.133, de 2021.</w:t>
      </w:r>
    </w:p>
    <w:p>
      <w:r>
        <w:t>27. Considera-se bem comum aquele cujos padrões de desempenho e qualidade podem ser objetivamente definidos pelo Edital, por meio de especificações usuais de mercado (art. 6°, inc. XIII, da Lei n. 14.133, de 2021).</w:t>
      </w:r>
    </w:p>
    <w:p>
      <w:r>
        <w:t>28. Compete ao agente ou setor técnico da administração declarar que o objeto licitatório é de natureza comum para efeito de utilização da modalidade pregão, nos termos da Orientação Normativa AGU n. 54, de 2014.</w:t>
      </w:r>
    </w:p>
    <w:p>
      <w:r>
        <w:t>29. Destaque-se que somente é possível licitar utilizando o pregão eletrônico sob o tipo menor preço ou maior desconto (art. 6°, XLI, Lei n. 14.133, de 2021). Alerta-se: se o critério de julgamento adotado for o maior desconto, não se aplica este Parecer Referencial.</w:t>
      </w:r>
    </w:p>
    <w:p>
      <w:r>
        <w:t>Recomendação:</w:t>
      </w:r>
    </w:p>
    <w:p>
      <w:r>
        <w:t>30.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declarar expressamente que o objeto pode ser considerado como bem comum.</w:t>
            </w:r>
          </w:p>
        </w:tc>
      </w:tr>
    </w:tbl>
    <w:p/>
    <w:p>
      <w:r>
        <w:t>a. declarar expressamente que o objeto pode ser considerado como bem comum.</w:t>
      </w:r>
    </w:p>
    <w:p>
      <w:r>
        <w:t>31. Se a área técnica considerar que não se trata de bens comuns, ou seja, se os bens objeto da licitação forem caracterizados como especiais, não será possível adotar o pregão e, assim, não será aplicável o presente parecer referencial.</w:t>
      </w:r>
    </w:p>
    <w:p>
      <w:r>
        <w:t>7. SISTEMA DE REGISTRO DE PREÇOS</w:t>
      </w:r>
    </w:p>
    <w:p>
      <w:r>
        <w:t>7.1 Hipóteses de aplicação</w:t>
      </w:r>
    </w:p>
    <w:p>
      <w:r>
        <w:t>32. O art. 40, II, da Lei n. 14.133, de 2021, previu que as compras serão processadas por meio do sistema de registro de preços, quando pertinente.</w:t>
      </w:r>
    </w:p>
    <w:p>
      <w:r>
        <w:t>33. De acordo com o art. 3° do Decreto n. 11.462, de 2023, o Sistema de Registro de Preços poderá ser adotado quando a Administração julgar pertinente, em especial:</w:t>
      </w:r>
    </w:p>
    <w:p>
      <w:r>
        <w:t>I. quando, pelas características do objeto, houver necessidade de contratações permanentes ou frequentes;</w:t>
      </w:r>
    </w:p>
    <w:p>
      <w:r>
        <w:t>II. quando for conveniente a aquisição de bens com previsão de entregas parceladas;</w:t>
      </w:r>
    </w:p>
    <w:p>
      <w:r>
        <w:t>III. quando for conveniente para atendimento a mais de um órgão ou a entidade, inclusive nas compras centralizadas;</w:t>
      </w:r>
    </w:p>
    <w:p>
      <w:r>
        <w:t>IV. quando for atender a execução descentralizada de programa ou projeto federal, por meio de compra nacional ou da adesão de que trata o § 2° do art. 32; ou</w:t>
      </w:r>
    </w:p>
    <w:p>
      <w:r>
        <w:t>V. quando, pela natureza do objeto, não for possível definir previamente o quantitativo a ser demandado pela Administração.</w:t>
      </w:r>
    </w:p>
    <w:p>
      <w:r>
        <w:t>34. Alerta-se: o SRP não deve ser adotado quando a Administração pretende realizar contratação única e integral do objeto registrado, extinguindo-se a ata no primeiro uso, conforme entendimento do Tribunal de Contas da União:</w:t>
      </w:r>
    </w:p>
    <w:p>
      <w:r>
        <w:t>Licitação. Registro de preços. Cabimento. Contratação. Princípio da razoabilidade.</w:t>
      </w:r>
    </w:p>
    <w:p>
      <w:r>
        <w:t>É irregular a utilização, pelo órgão gerenciador, do sistema de registro de preços para realização de contratação única e integral do objeto registrado, ocasionando a extinção da ata na primeira contratação, por afronta aos princípios da razoabilidade e da finalidade.</w:t>
      </w:r>
    </w:p>
    <w:p>
      <w:r>
        <w:t>Acórdão 1351/2025 Plenário (Pedido de Reexame, Relator Ministro Walton Alencar Rodrigues). Boletim de Jurisprudência n. 545.</w:t>
      </w:r>
    </w:p>
    <w:p>
      <w:r>
        <w:t>Recomendação:</w:t>
      </w:r>
    </w:p>
    <w:p>
      <w:r>
        <w:t>35.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a eventual adoção do SRP, enquadrando a hipótese no art. 3°, caput , do Decreto n. 11.462, de 2023, ou em um ou mais incisos; b. atentar para não utilizar o SRP se for o caso de contratação única e integral do objeto registrado.</w:t>
            </w:r>
          </w:p>
        </w:tc>
      </w:tr>
    </w:tbl>
    <w:p/>
    <w:p>
      <w:r>
        <w:t>a. justificar a eventual adoção do SRP, enquadrando a hipótese no art. 3°, caput , do Decreto n. 11.462, de 2023, ou em um ou mais incisos;</w:t>
      </w:r>
    </w:p>
    <w:p>
      <w:r>
        <w:t>b. atentar para não utilizar o SRP se for o caso de contratação única e integral do objeto registrado.</w:t>
      </w:r>
    </w:p>
    <w:p>
      <w:r>
        <w:t>7.1 Intenção de Registro de Preços</w:t>
      </w:r>
    </w:p>
    <w:p>
      <w:r>
        <w:t>36. A adoção do Sistema de Registro de Preços pressupõe a divulgação da intenção de registro de preços (IRP) perante possíveis órgãos participantes.</w:t>
      </w:r>
    </w:p>
    <w:p>
      <w:r>
        <w:t>37. Atenção: apenas poderá ser dispensada essa divulgação quando o órgão ou a entidade gerenciadora for o único contratante (art. 86, caput e § 1°, da Lei n. 14.133, de 2021, e art. 9°, caput e § 2°, do Decreto n. 11.462, de 2023).</w:t>
      </w:r>
    </w:p>
    <w:p>
      <w:r>
        <w:t>38. Alerta-se: não devem ser utilizadas justificativas diversas para a não divulgação da IRP, tais como, dificuldades de gerenciamento ou necessidades urgentes do órgão, pois a única possibilidade para a dispensa, prevista em lei, é quando a entidade gerenciadora for a única contratante.</w:t>
      </w:r>
    </w:p>
    <w:p>
      <w:r>
        <w:t>39. É possível, porém, que o órgão gerenciador estabeleça o número máximo de participantes, em conformidade com sua capacidade de gerenciamento, bem como aceite ou recuse, justificadamente, (i) quantitativos ínfimos; (ii) inclusão de novos itens; e (iii) itens da mesma natureza com modificações em suas especificações (art. 7°, I e II, do Decreto n. 11.462, de 2023).</w:t>
      </w:r>
    </w:p>
    <w:p>
      <w:r>
        <w:t>40. Observa-se que em se tratando de registro de preços com indicação limitada a unidades de contratação, sem indicação do total a ser adquirido, é vedada a participação de outro órgão ou entidade na ata (art. 82, § 4°, da Lei n. 14.133, de 2021, e artigo 4°, parágrafo único, do Decreto n. 11.462, de 2023).</w:t>
      </w:r>
    </w:p>
    <w:p>
      <w:r>
        <w:t>Recomendação:</w:t>
      </w:r>
    </w:p>
    <w:p>
      <w:r>
        <w:t>41.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nos autos a divulgação da Intenção de Registro de Preços; b. caso seja o único contratante, apresentar a devida justificativa para a não divulgação da IRP, e for o caso.</w:t>
            </w:r>
          </w:p>
        </w:tc>
      </w:tr>
    </w:tbl>
    <w:p/>
    <w:p>
      <w:r>
        <w:t>a. comprovar nos autos a divulgação da Intenção de Registro de Preços;</w:t>
      </w:r>
    </w:p>
    <w:p>
      <w:r>
        <w:t>b. caso seja o único contratante, apresentar a devida justificativa para a não divulgação da IRP, e for o caso.</w:t>
      </w:r>
    </w:p>
    <w:p>
      <w:r>
        <w:t>8. PLANEJAMENTO DA CONTRATAÇÃO</w:t>
      </w:r>
    </w:p>
    <w:p>
      <w:r>
        <w:t>42. O artigo 18 da Lei n. 14.133, de 2021, determina que o planejamento da contratação deve se compatibilizar com o plano de contratações anual e com as leis orçamentárias, bem como abordar todas as considerações técnicas, mercadológicas e de gestão que podem interferir na contratação. O art. 18 traz, ainda, as providências e documentos que devem instruir a fase de planejamento.</w:t>
      </w:r>
    </w:p>
    <w:p>
      <w:r>
        <w:t>43. Para o adequado planejamento, o gestor deve observar as diretrizes e determinações constantes da Lei n. 14.133, de 2021, do Decreto n. 10.947, de 2022 e das IN SEGES/ME n. 58/2022 e IN SEGES/ME n. 81/2022.</w:t>
      </w:r>
    </w:p>
    <w:p>
      <w:r>
        <w:t>44. Recomenda-se observar as orientações do Instrumento de Padronização dos Procedimentos de Contratação (IPP) para a elaboração dos documentos da fase de planejamento.</w:t>
      </w:r>
    </w:p>
    <w:p>
      <w:r>
        <w:t>45. Embora os documentos dessa fase sejam de natureza essencialmente técnica, seguem observações a título de orientação jurídica.</w:t>
      </w:r>
    </w:p>
    <w:p>
      <w:r>
        <w:t>8.1 Designação dos agentes públicos</w:t>
      </w:r>
    </w:p>
    <w:p>
      <w:r>
        <w:t>46. A autoridade máxima do ente assessorado - ou a quem for delegada essa competência - deverá designar agentes públicos</w:t>
      </w:r>
    </w:p>
    <w:p>
      <w:r>
        <w:t>para o desempenho das funções essenciais da licitação e da contratação, de acordo com as regras previstas no art. 7° da Lei n. 14.133, de 2021, no Decreto n. 11.246, de 2022, bem como as normas contidas na Instrução Normativa SEGES/ME n. 58, de 2022, e na Instrução Normativa SEGES/ME n. 81, de 2022.</w:t>
      </w:r>
    </w:p>
    <w:p>
      <w:r>
        <w:t>47. Alerta-se: pelo princípio da segregação de funções, é vedada a designação do mesmo agente público para atuação simultânea em funções mais suscetíveis a riscos, com o objetivo de reduzir a ocorrência de fraudes e ocultação de erros na respectiva contratação (art. 7°, § 1°, da Lei n. 14.133, de 2021, art. 12 do Decreto n. 11.246, de 2022).</w:t>
      </w:r>
    </w:p>
    <w:p>
      <w:r>
        <w:t>48. É recomendável a juntada aos autos de todos os atos formais de designação dos agentes públicos para as diferentes funções, certificando que houve atendimento ao princípio da segregação de funções.</w:t>
      </w:r>
    </w:p>
    <w:p>
      <w:r>
        <w:t>49. Nesse sentido, deverá ser comprovado nos autos a designação formal dos seguintes agentes:</w:t>
      </w:r>
    </w:p>
    <w:p>
      <w:r>
        <w:t>° Equipe de planejamento, que é o conjunto de agentes que reúnem as competências necessárias à completa execução das etapas de planejamento da contratação, o que inclui conhecimentos sobre aspectos técnicos-operacionais e de uso do objeto, licitações e contratos, dentre outros. É responsável pela elaboração dos documentos técnicos, como o estudo técnico preliminar, mapa de riscos, orçamento estimativo da licitação, termo de referência e minuta de edital.</w:t>
      </w:r>
    </w:p>
    <w:p>
      <w:r>
        <w:t>° Pregoeiro, que é a pessoa designada, entre servidores efetivos, para tomar decisões, acompanhar o trâmite da licitação, dar impulso ao procedimento licitatório e executar quaisquer outras atividades necessárias ao bom andamento do certame até a homologação. O pregoeiro é auxiliado pela equipe de apoio, que também deve ser previamente designada.</w:t>
      </w:r>
    </w:p>
    <w:p>
      <w:r>
        <w:t>° Gestores e fiscais do contrato, a serem designados na fase de execução do contrato e representam a Administração para exercer as funções estabelecidas nos arts. 21 a 24 do Decreto n. 11.246, de 2022. Recomenda-se a designação previamente à assinatura do contrato, garantindo o acompanhamento e fiscalização integral e contínuo do processo.</w:t>
      </w:r>
    </w:p>
    <w:p>
      <w:r>
        <w:t>50. Atenção: a escolha dos agentes públicos deve ser objeto de especial atenção do gestor, pois definem o planejamento, condução e todo o processo de contratação. Em relação à fiscalização contratual, destaca-se que a Administração pode ser responsabilizada por eventuais falhas ou prejuízos ao erário. Sendo assim, para escolha desses agentes públicos, a autoridade competente deverá considerar atentamente os requisitos do § 2° do art. 8° e do art. 10 do Decreto n. 11.246, de 2022.</w:t>
      </w:r>
    </w:p>
    <w:p>
      <w:r>
        <w:t>Recomendação:</w:t>
      </w:r>
    </w:p>
    <w:p>
      <w:r>
        <w:t>51.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juntar aos autos o ato formal de designação da equipe de planejamento e do pregoeiro e sua equipe de apoio; b. designar os gestores e fiscais da execução contratual, preferencialmente, antes da assinatura do contrato (art. 8°, § 6°, do Decreto n. 11.246, de 2022); c. observar atentamente os requisitos do § 2° do art. 8° e do art. 10 do Decreto n. 11.246, de 2022, para as designações.</w:t>
            </w:r>
          </w:p>
        </w:tc>
      </w:tr>
    </w:tbl>
    <w:p/>
    <w:p>
      <w:r>
        <w:t>a. juntar aos autos o ato formal de designação da equipe de planejamento e do pregoeiro e sua equipe de apoio;</w:t>
      </w:r>
    </w:p>
    <w:p>
      <w:r>
        <w:t>b. designar os gestores e fiscais da execução contratual, preferencialmente, antes da assinatura do contrato (art. 8°, § 6°, do Decreto n. 11.246, de 2022);</w:t>
      </w:r>
    </w:p>
    <w:p>
      <w:r>
        <w:t>c. observar atentamente os requisitos do § 2° do art. 8° e do art. 10 do Decreto n. 11.246, de 2022, para as designações.</w:t>
      </w:r>
    </w:p>
    <w:p>
      <w:r>
        <w:t>8.2 Documento de Formalização da Demanda (DFD)</w:t>
      </w:r>
    </w:p>
    <w:p>
      <w:r>
        <w:t>52. O Documento de Formalização da Demanda é instrumento obrigatório para a deflagração do certame e deve trazer os conteúdos do art. 8° do Decreto n. 10.947, de 2022, especialmente a justificativa da necessidade da contratação, o nome da área requisitante ou técnica com a identificação do responsável e a indicação da data pretendida para a conclusão da contratação.</w:t>
      </w:r>
    </w:p>
    <w:p>
      <w:r>
        <w:t>Recomendação:</w:t>
      </w:r>
    </w:p>
    <w:p>
      <w:r>
        <w:t>53.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DFD com todos os conteúdos do art. 8° do Decreto n. 10.947, de 2022, especialmente a justificativa da necessidade da contratação, o nome da área requisitante ou técnica com a identificação do responsável e a indicação da data pretendida para a conclusão da contratação.</w:t>
            </w:r>
          </w:p>
        </w:tc>
      </w:tr>
    </w:tbl>
    <w:p/>
    <w:p>
      <w:r>
        <w:t>a. elaborar o DFD com todos os conteúdos do art. 8° do Decreto n. 10.947, de 2022, especialmente a justificativa da necessidade da contratação, o nome da área requisitante ou técnica com a identificação do responsável e a indicação da data pretendida para a conclusão da contratação.</w:t>
      </w:r>
    </w:p>
    <w:p>
      <w:r>
        <w:t>8.3 Estudo Técnico Preliminar (ETP)</w:t>
      </w:r>
    </w:p>
    <w:p>
      <w:r>
        <w:t>54. O art. 18, inciso I, e § 1°, da Lei n. 14.133/2021e a IN SEGES/ME n. 58/2022estabelecem que a Administração deverá elaborar estudo técnico preliminar da contratação, que constitui a primeira etapa do planejamento de uma contratação e o fundamento para o termo de referência (art. 6°, XX, da Lei n. 14.133/2021 c/c art. 6° da IN SEGES/ME n. 58/2022):</w:t>
      </w:r>
    </w:p>
    <w:p>
      <w:r>
        <w:t>Art. 18. [...]</w:t>
      </w:r>
    </w:p>
    <w:p>
      <w:r>
        <w:t>§ 1° O estudo técnico preliminar a que se refere o inciso I do caput deste artigo deverá evidenciar o problema a ser resolvido e a sua melhor solução, de modo a permitir a avaliação da viabilidade técnica e econômica da contratação, e conterá os seguintes elementos:</w:t>
      </w:r>
    </w:p>
    <w:p>
      <w:r>
        <w:t>I - descrição da necessidade da contratação, considerado o problema a ser resolvido sob a perspectiva do interesse público;</w:t>
      </w:r>
    </w:p>
    <w:p>
      <w:r>
        <w:t>II - demonstração da previsão da contratação no plano de contratações anual, sempre que elaborado, de modo a indicar o seu alinhamento com o planejamento da Administração;</w:t>
      </w:r>
    </w:p>
    <w:p>
      <w:r>
        <w:t>III - requisitos da contratação;</w:t>
      </w:r>
    </w:p>
    <w:p>
      <w:r>
        <w:t>IV - estimativas das quantidades para a contratação, acompanhadas das memórias de cálculo e dos documentos que lhes dão suporte, que considerem interdependências com outras contratações, de modo a possibilitar economia de escala;</w:t>
      </w:r>
    </w:p>
    <w:p>
      <w:r>
        <w:t>V - levantamento de mercado, que consiste na análise das alternativas possíveis, e justificativa técnica e econômica da escolha do tipo de solução a contratar;</w:t>
      </w:r>
    </w:p>
    <w:p>
      <w:r>
        <w:t>VI - estimativa do valor da contratação, acompanhada dos preços unitários referenciais, das memórias de cálculo e dos documentos que lhe dão suporte, que poderão constar de anexo classificado, se a Administração optar por preservar o seu sigilo até a conclusão da licitação;</w:t>
      </w:r>
    </w:p>
    <w:p>
      <w:r>
        <w:t>VII - descrição da solução como um todo, inclusive das exigências relacionadas à manutenção e à assistência técnica, quando for o caso;</w:t>
      </w:r>
    </w:p>
    <w:p>
      <w:r>
        <w:t>VIII - justificativas para o parcelamento ou não da contratação;</w:t>
      </w:r>
    </w:p>
    <w:p>
      <w:r>
        <w:t>IX - demonstrativo dos resultados pretendidos em termos de economicidade e de melhor aproveitamento dos recursos humanos, materiais e financeiros disponíveis;</w:t>
      </w:r>
    </w:p>
    <w:p>
      <w:r>
        <w:t>X - providências a serem adotadas pela Administração previamente à celebração do contrato, inclusive quanto à capacitação de servidores ou de empregados para fiscalização e gestão contratual;</w:t>
      </w:r>
    </w:p>
    <w:p>
      <w:r>
        <w:t>XI - contratações correlatas e/ou interdependentes;</w:t>
      </w:r>
    </w:p>
    <w:p>
      <w:r>
        <w:t>XII - descrição de possíveis impactos ambientais e respectivas medidas mitigadoras, incluídos requisitos de baixo consumo de energia e de outros recursos, bem como logística reversa para desfazimento e reciclagem de bens e refugos, quando aplicável;</w:t>
      </w:r>
    </w:p>
    <w:p>
      <w:r>
        <w:t>XIII - posicionamento conclusivo sobre a adequação da contratação para o atendimento da necessidade a que se destina.</w:t>
      </w:r>
    </w:p>
    <w:p>
      <w:r>
        <w:t>55. Atenção: O art. 18, § 2°, da Lei n. 14.133, de 2021, estabelece que os requisitos dos incisos I, IV, VI, VIII e XIII são obrigatórios. A não previsão de qualquer um dos demais conteúdos deverá ser justificada no próprio documento.</w:t>
      </w:r>
    </w:p>
    <w:p>
      <w:r>
        <w:t>Recomendação:</w:t>
      </w:r>
    </w:p>
    <w:p>
      <w:r>
        <w:t>56.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ETP contendo todas as previsões necessárias, nos termos acima informados; b. elaborar o ETP no Sistema ETP Digital, nos termos do art. 4° da IN SEGES/ME n. 58/2022.</w:t>
            </w:r>
          </w:p>
        </w:tc>
      </w:tr>
    </w:tbl>
    <w:p/>
    <w:p>
      <w:r>
        <w:t>a. elaborar o ETP contendo todas as previsões necessárias, nos termos acima informados;</w:t>
      </w:r>
    </w:p>
    <w:p>
      <w:r>
        <w:t>b. elaborar o ETP no Sistema ETP Digital, nos termos do art. 4° da IN SEGES/ME n. 58/2022.</w:t>
      </w:r>
    </w:p>
    <w:p>
      <w:r>
        <w:t>57. Em relação ao conteúdo obrigatório do ETP, é relevante destacar as seguintes questões, do ponto de vista jurídico:</w:t>
      </w:r>
    </w:p>
    <w:p>
      <w:r>
        <w:t>a) descrição da necessidade da contratação, considerado o problema a ser resolvido sob a perspectiva do interesse público (inc. I):</w:t>
      </w:r>
    </w:p>
    <w:p>
      <w:r>
        <w:t>58. Quanto ao objeto da licitação, são vedadas especificações do objeto que sejam excessivas, irrelevantes ou desnecessárias, limitem ou frustrem a competição ou sua realização (art. 9° da Lei n. 14.133, de 2021). O gestor deverá tomar as devidas cautelas para assegurar que as especificações correspondam àquelas essenciais à contratação, sem as quais não poderão ser atendidas as necessidades da Administração.</w:t>
      </w:r>
    </w:p>
    <w:p>
      <w:r>
        <w:t>59. Caso as especificações somente possam ser atendidas por uma quantidade de fornecedores considerada restrita, deverá ser avaliada a pertinência deretirar ou flexibilizar requisitos, mantendo-se apenas aqueles considerados indispensáveis (art. 9°, inc. I, § 2°, da IN SEGES/ME n. 58/2022).</w:t>
      </w:r>
    </w:p>
    <w:p>
      <w:r>
        <w:t>60. A justificativa da necessidade da contratação constitui questão técnica e administrativa. Assim não cabe manifestação jurídica conclusiva acerca do mérito (oportunidade e conveniência) da motivação apresentada e das opções feitas pela Administração, exceto na hipótese de ilegalidade (Enunciado n. 7 do Manual de Boas Práticas Consultivas da Advocacia Geral da União).</w:t>
      </w:r>
    </w:p>
    <w:p>
      <w:r>
        <w:t>Recomendação:</w:t>
      </w:r>
    </w:p>
    <w:p>
      <w:r>
        <w:t>61.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justificativa para a necessidade da contratação, considerando os princípios constitucionais da legalidade, impessoalidade, moralidade e eficiência (art. 37), bem como aqueles previstos no art. 5° da Lei n. 14.133, de 2021: interesse público, probidade administrativa, igualdade, planejamento, transparência, eficácia, motivação, razoabilidade, proporcionalidade, celeridade, economicidade e desenvolvimento nacional sustentável.</w:t>
            </w:r>
          </w:p>
        </w:tc>
      </w:tr>
    </w:tbl>
    <w:p/>
    <w:p>
      <w:r>
        <w:t>a. elaborar justificativa para a necessidade da contratação, considerando os princípios constitucionais da legalidade, impessoalidade, moralidade e eficiência (art. 37), bem como aqueles previstos no art. 5° da Lei n. 14.133, de 2021: interesse público, probidade administrativa, igualdade, planejamento, transparência, eficácia, motivação, razoabilidade, proporcionalidade, celeridade, economicidade e desenvolvimento nacional sustentável.</w:t>
      </w:r>
    </w:p>
    <w:p>
      <w:r>
        <w:t>b) estimativa das quantidades a serem contratadas, acompanhada das memórias de cálculo e dos documentos que lhe dão suporte, considerando a interdependência com outras contratações, de modo a possibilitar economia de escala (inc. IV):</w:t>
      </w:r>
    </w:p>
    <w:p>
      <w:r>
        <w:t>62. A Administração deve estimar as quantidades a serem contratadas da forma mais clara e precisa possível. O art. 40 da Lei n.14.133, de 2021, dispõe que o planejamento de compras deve considerar a expectativa de consumo anual, mediante adequadas técnicas quantitativas admitindo-se o fornecimento contínuo:</w:t>
      </w:r>
    </w:p>
    <w:p>
      <w:r>
        <w:t>Art. 40. O planejamento de compras deverá considerar a expectativa de consumo anual e observar o seguinte:</w:t>
      </w:r>
    </w:p>
    <w:p>
      <w:r>
        <w:t>(...)</w:t>
      </w:r>
    </w:p>
    <w:p>
      <w:r>
        <w:t>III - determinação de unidades e quantidades a serem adquiridas em função de consumo e utilização prováveis, cuja estimativa será obtida, sempre que possível, mediante adequadas técnicas quantitativas, admitido o fornecimento contínuo;</w:t>
      </w:r>
    </w:p>
    <w:p>
      <w:r>
        <w:t>63. Isso significa que a demanda a ser considerada para estimativa dos quantitativos deve considerar a necessidade para um ano. Essa demanda deve ser acompanhada da justificativa técnica robusta e adequada. A justificativa para a estimativa de quantitativos deve ser acompanhada da indicação do método utilizado e documentos comprobatórios.</w:t>
      </w:r>
    </w:p>
    <w:p>
      <w:r>
        <w:t>64. Ressalte-se que tal justificativa constitui questão técnica e administrativa, sobre a qual não cabe manifestação jurídica, exceto na hipótese de ilegalidade (Enunciado n. 7 do Manual de Boas Práticas Consultivas da Advocacia Geral da União).</w:t>
      </w:r>
    </w:p>
    <w:p>
      <w:r>
        <w:t>65. Alerta-se: não são admitidas estimativas genéricas ou pouco detalhadas, sem respaldo em elementos técnicos e documentos que evidenciem a exata correlação entre a quantidade estimada e a demanda apresentada.</w:t>
      </w:r>
    </w:p>
    <w:p>
      <w:r>
        <w:t>66. Atenção: o TCU entendeu que caracteriza erro grosseiro a elaboração de documentos para a contratação de serviços sem justificativa das quantidades, em acórdão que pode ser considerado aplicável à Lei n. 14.133/2021, ante a obrigatoriedade de estimar os quantitativos e os custos unitários, prevista no art. 18, § 1°, IV e VI:</w:t>
      </w:r>
    </w:p>
    <w:p>
      <w:r>
        <w:t>Responsabilidade. Culpa. Erro grosseiro. Lei de Introdução às Normas do Direito brasileiro. Serviços. Quantidade. Justificativa. Ausência.</w:t>
      </w:r>
    </w:p>
    <w:p>
      <w:r>
        <w:t>Para fins do exercício do poder sancionatório do TCU, pode ser tipificada como erro grosseiro (art. 28 do Decreto-lei 4.657/1942 - Lindb) a elaboração de documentos que fundamentem a contratação de serviços sem justificativas para os quantitativos a serem adquiridos. Acórdão 2459/2021 Plenário (Pedido de Reexame, Relator Ministro Augusto Nardes)</w:t>
      </w:r>
    </w:p>
    <w:p>
      <w:r>
        <w:t>- Boletim de Jurisprudência n. 377.</w:t>
      </w:r>
    </w:p>
    <w:p>
      <w:r>
        <w:t>Recomendação:</w:t>
      </w:r>
    </w:p>
    <w:p>
      <w:r>
        <w:t>67.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justificativa técnica que esclareça a metodologia utilizada para a estimativa dos quantitativos a serem licitados, com a respectiva memória de cálculo e expressa menção aos documentos que a embasaram (ex.: histórico de outras contratações, relatórios, dados sobre a demanda interna, gráficos, séries históricas).</w:t>
            </w:r>
          </w:p>
        </w:tc>
      </w:tr>
    </w:tbl>
    <w:p/>
    <w:p>
      <w:r>
        <w:t>a. elaborar justificativa técnica que esclareça a metodologia utilizada para a estimativa dos quantitativos a serem licitados, com a respectiva memória de cálculo e expressa menção aos documentos que a embasaram (ex.: histórico de outras contratações, relatórios, dados sobre a demanda interna, gráficos, séries históricas).</w:t>
      </w:r>
    </w:p>
    <w:p>
      <w:r>
        <w:t>68. Atenção: A recomendação se mantém ainda que seja adotado o Sistema de Registro de Preços (SRP). A adoção do Sistema de Registro de Preços não dispensa a demonstração de correlação entre a demanda e as quantidades licitadas, ainda que haja alguma dificuldade na estimativa. A estimativa deve estar baseada na realidade do órgão e em estudos técnicos.</w:t>
      </w:r>
    </w:p>
    <w:p>
      <w:r>
        <w:t>69. Cumpre observar, por outro lado, que o art. 4° do Decreto n. 11.462, de 2023, permite o registro de preços com indicação limitada a unidades de contratação, sem indicação do total a ser adquirido, apenas nas seguintes situações:</w:t>
      </w:r>
    </w:p>
    <w:p>
      <w:r>
        <w:t>° quando for a primeira licitação ou contratação direta para o objeto e o órgão ou a entidade não tiver registro de demandas anteriores;</w:t>
      </w:r>
    </w:p>
    <w:p>
      <w:r>
        <w:t>° no caso de alimento perecível; ou</w:t>
      </w:r>
    </w:p>
    <w:p>
      <w:r>
        <w:t>° no caso em que o serviço estiver integrado ao fornecimento de bens.</w:t>
      </w:r>
    </w:p>
    <w:p>
      <w:r>
        <w:t>70. Nessas situações, é obrigatória a indicação do valor máximo da despesa e é vedada a participação de outro órgão ou entidade na ata.</w:t>
      </w:r>
    </w:p>
    <w:p>
      <w:r>
        <w:t>71. Ainda sobre o SRP, o art. 15, II, do Decreto n. 11.462, de 2023, estabelece que o edital disporá sobre a quantidade mínima a ser cotada de unidades de bens, desde que justificada. Essa medida oportuniza a participação de empresas de diferentes portes, ampliando a competitividade da licitação, o que pode levar a uma maior vantajosidade na contratação. Nesse caso, poderá haver multiplicidade de fornecedores para o mesmo item.</w:t>
      </w:r>
    </w:p>
    <w:p>
      <w:r>
        <w:t>Recomendação:</w:t>
      </w:r>
    </w:p>
    <w:p>
      <w:r>
        <w:t>72. Se for adotado o SRP, com indicação limitada a unidades de contratação, sem indicação do total a ser adquirido,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que a situação se encaixa nas hipóteses do art. 4° do Decreto n. 11.462, de 2023; b. indicar o valor máximo da despesa; c. vedar a participação de outro órgão ou entidade na ARP.</w:t>
            </w:r>
          </w:p>
        </w:tc>
      </w:tr>
    </w:tbl>
    <w:p/>
    <w:p>
      <w:r>
        <w:t>a. comprovar que a situação se encaixa nas hipóteses do art. 4° do Decreto n. 11.462, de 2023;</w:t>
      </w:r>
    </w:p>
    <w:p>
      <w:r>
        <w:t>b. indicar o valor máximo da despesa;</w:t>
      </w:r>
    </w:p>
    <w:p>
      <w:r>
        <w:t>c. vedar a participação de outro órgão ou entidade na ARP.</w:t>
      </w:r>
    </w:p>
    <w:p>
      <w:r>
        <w:t>c) estimativa do valor da contratação, acompanhada dos preços unitários referenciais, das memórias de cálculo e dos documentos que lhe dão suporte, que poderão constar de anexo classificado, se a Administração optar por preservar o seu sigilo até a conclusão da licitação (inc. VI):</w:t>
      </w:r>
    </w:p>
    <w:p>
      <w:r>
        <w:t>73. É dever da Administração, elaborar planilha detalhada, com a consolidação dos quantitativos e preços unitários e total da contratação (art. 6°, XXIII, alínea "i", art. 18, IV, e § 1°, VI, da Lei n. 14.133, de 2021).</w:t>
      </w:r>
    </w:p>
    <w:p>
      <w:r>
        <w:t>74. A definição do valor estimado da contratação é ponto sensível da fase de planejamento e merece atenção específica por parte do gestor. Eventuais falhas, erros, irregularidades ou não cumprimento das regras legais pode levar a questionamentos de licitantes e órgãos de controle, comprometendo a contratação e o interesse público envolvido.</w:t>
      </w:r>
    </w:p>
    <w:p>
      <w:r>
        <w:t>75. É a partir da definição do valor estimado que a Administração pode concluir pela viabilidade ou não da contratação, verificar a adequação orçamentária e analisar a exequibilidade e aceitação das propostas ofertadas na licitação.</w:t>
      </w:r>
    </w:p>
    <w:p>
      <w:r>
        <w:t>76. A estimativa de valor impacta, ainda, outros pontos do processo de contratação, como a exclusividade ou não da participação de microempresas, empresas de pequeno porte e cooperativas, valor da garantia eventualmente exigida, margens de preferência e reserva orçamentária.</w:t>
      </w:r>
    </w:p>
    <w:p>
      <w:r>
        <w:t>77. É imprescindível, ainda, que sejam definidos os preços unitários referenciais, não bastando a indicação apenas do valor global da contratação.</w:t>
      </w:r>
    </w:p>
    <w:p>
      <w:r>
        <w:t>78. A estimativa do valor da contratação deve ser compatível com a realidade do mercado, considerados os preços constantes de bancos de dados públicos e as quantidades a serem contratadas, observadas a potencial economia de escala e as peculiaridades do local de execução do objeto. (art. 23, Lei n. 14.133, de 2021).</w:t>
      </w:r>
    </w:p>
    <w:p>
      <w:r>
        <w:t>79. Para tanto, é necessária uma adequada pesquisa de preços, que reflita, com a maior exatidão possível, os preços praticados no mercado. A IN SEGES/ME n. 65, de 2021, traz a metodologia detalhada a ser observada para a elaboração da pesquisa de preços.</w:t>
      </w:r>
    </w:p>
    <w:p>
      <w:r>
        <w:t>80. Apesar de se tratar de questão eminentemente técnica, seguem orientações relevantes para a elaboração da pesquisa de preços.</w:t>
      </w:r>
    </w:p>
    <w:p>
      <w:r>
        <w:t>c. 1) Parâmetros</w:t>
      </w:r>
    </w:p>
    <w:p>
      <w:r>
        <w:t>81. O art. 23, § 1°, da Lei n. 14.133, de 2021, traz os parâmetros a serem observados para a definição do valor estimado, que podem ser adotados de forma combinada ou não . Tais parâmetros vêm detalhados no art. 5° da IN SEGES/ME n. 65, de 2021, que estabelece que devem ser utilizados os parâmetros dos incisos I e II prioritariamente (art. 5°, § 1°):</w:t>
      </w:r>
    </w:p>
    <w:tbl>
      <w:tblPr>
        <w:tblW w:type="auto" w:w="0"/>
        <w:tblLook w:firstColumn="1" w:firstRow="1" w:lastColumn="0" w:lastRow="0" w:noHBand="0" w:noVBand="1" w:val="04A0"/>
      </w:tblPr>
      <w:tblGrid>
        <w:gridCol w:w="8640"/>
      </w:tblGrid>
      <w:tr>
        <w:tc>
          <w:tcPr>
            <w:tcW w:type="dxa" w:w="8640"/>
          </w:tcPr>
          <w:p/>
        </w:tc>
      </w:tr>
      <w:tr>
        <w:tc>
          <w:tcPr>
            <w:tcW w:type="dxa" w:w="8640"/>
          </w:tcPr>
          <w:p>
            <w:r>
              <w:t>Inciso I - composição de custos unitários menores ou iguais à mediana do item correspondente nos sistemas oficiais de governo, como Painel de Preços ou Sistema de Compras do Governo Federal. Inciso II - contratações similares feitas pela Administração Pública, em execução ou concluídas no período de 1 (um) ano anterior à data da pesquisa de preços.</w:t>
            </w:r>
          </w:p>
        </w:tc>
      </w:tr>
    </w:tbl>
    <w:p/>
    <w:p>
      <w:r>
        <w:t>Inciso I - composição de custos unitários menores ou iguais à mediana do item correspondente nos sistemas oficiais de governo, como Painel de Preços ou Sistema de Compras do Governo Federal.</w:t>
      </w:r>
    </w:p>
    <w:p>
      <w:r>
        <w:t>Inciso II - contratações similares feitas pela Administração Pública, em execução ou concluídas no período de 1 (um) ano anterior à data da pesquisa de preços.</w:t>
      </w:r>
    </w:p>
    <w:p>
      <w:r>
        <w:t>82. Nas duas hipóteses, deve ser observado o índice de atualização de preços correspondente.</w:t>
      </w:r>
    </w:p>
    <w:p>
      <w:r>
        <w:t>83. Caso não seja possível utilizar os parâmetros acima, deve ser apresentada justificativa, nos termos do art. 5°, § 1°, da IN SEGES/ME n. 65, de 2021. Nessa hipótese, devem ser observados os parâmetros adicionais trazidos pelo art. 5° da IN, incisos III, IV e V.</w:t>
      </w:r>
    </w:p>
    <w:p>
      <w:r>
        <w:t>84. Atenção: se for adotada a pesquisa direta com fornecedores (art. 5°, IV), observar as cautelas estabelecidas no art. 5°,§ 2°, em especial:</w:t>
      </w:r>
    </w:p>
    <w:p>
      <w:r>
        <w:t> juntar aos autos a solicitação formal de cotação feita aos fornecedores, por meio de ofício ou e-mail;</w:t>
      </w:r>
    </w:p>
    <w:p>
      <w:r>
        <w:t> manifestação técnica fundamentada acerca da escolha dos fornecedores consultados, constando todas as informações estabelecidas no § 2° do art. 5°;</w:t>
      </w:r>
    </w:p>
    <w:p>
      <w:r>
        <w:t> demonstrar que tentou obter preços de referência em sistemas oficiais de governo e em contratações públicas similares (art. 5°, § 1°, da IN SEGES/ME n. 65/2021), bem como justificar a não utilização desses parâmetros preferenciais;</w:t>
      </w:r>
    </w:p>
    <w:p>
      <w:r>
        <w:t> que as datas das pesquisas feitas junto aos fornecedores não sejam com mais de 6 (seis) meses de antecedência da data de divulgação do edital.</w:t>
      </w:r>
    </w:p>
    <w:p>
      <w:r>
        <w:t>85. Importante: a pesquisa deve ( i) registrar a identidade do bem pesquisado com o objeto a ser licitado; (ii) observar as condições comerciais praticadas, como prazos, locais de entrega, instalação, potencial economia de escala, entre outras particularidades que impactem na formação do preço (art. 4°).</w:t>
      </w:r>
    </w:p>
    <w:p>
      <w:r>
        <w:t>86. Alerta-se: a utilização da ferramenta "Banco de Preços" (ou cotação zênite, ou fonte de preços etc.) não atende aos requisitos da legislação, em especial, o art. 5° da IN SEGES/ME n. 65/2021.</w:t>
      </w:r>
    </w:p>
    <w:p>
      <w:r>
        <w:t>87. O Banco de Preços não se trata de informação primária, mas secundária (Lei n. 12.527, de 2011). A fonte primária deve ser o Painel de Compras do Governo Federal (art. 23, § 1°, inciso I da Lei n. 14.133, de 2021, art. 5°, inciso I, § 1°, da IN SEGES/ME n. 65/2021 e Acórdão 718/2018- Plenário). A utilização da ferramenta "Banco de Preços" pode ser feita apenas como mecanismo auxiliar de busca.</w:t>
      </w:r>
    </w:p>
    <w:p>
      <w:r>
        <w:t>88. Caso a Administração utilize o Banco de Preços como ferramenta auxiliar de pesquisa, deverá juntar aos autos as informações primárias (Painel de Preços) que confirmem e reforcem a pesquisa realizada nos autos, para pleno atendimento do art. 5°, inciso I, § 1°, da IN SEGES/ME n. 65, de 2021.</w:t>
      </w:r>
    </w:p>
    <w:p>
      <w:r>
        <w:t>89. Se for adotado o SRP e, após a publicação da Intenção de Registro de Preços (IRP), houver manifestação de interesse por parte de outros órgãos, recomenda-se que a Administração analise a necessidade de realizar uma nova pesquisa de preços, considerando os novos quantitativos demandados pelos órgãos participantes e eventual impacto na economia de escala.</w:t>
      </w:r>
    </w:p>
    <w:p>
      <w:r>
        <w:t>Recomendação:</w:t>
      </w:r>
    </w:p>
    <w:p>
      <w:r>
        <w:t>90.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pesquisa de preços, ampla e idônea, observando as diretrizes traçadas pela Lei n. 14.133, de 2021, e IN SEGES/ME n. 65, de 2021, a fim de definir o valor estimado da contratação; b. caso utilize o Banco de Preços, juntar as informações respectivas do Painel de Preços ou contratações similares que confirmem a pesquisa; c. avaliar a necessidade de realizar nova pesquisa de preços, em caso de manifestação de interesse de outros órgãos após IRP.</w:t>
            </w:r>
          </w:p>
        </w:tc>
      </w:tr>
    </w:tbl>
    <w:p/>
    <w:p>
      <w:r>
        <w:t>a. elaborar pesquisa de preços, ampla e idônea, observando as diretrizes traçadas pela Lei n. 14.133, de 2021, e IN SEGES/ME n. 65, de 2021, a fim de definir o valor estimado da contratação;</w:t>
      </w:r>
    </w:p>
    <w:p>
      <w:r>
        <w:t>b. caso utilize o Banco de Preços, juntar as informações respectivas do Painel de Preços ou contratações similares que confirmem a pesquisa;</w:t>
      </w:r>
    </w:p>
    <w:p>
      <w:r>
        <w:t>c. avaliar a necessidade de realizar nova pesquisa de preços, em caso de manifestação de interesse de outros órgãos após IRP.</w:t>
      </w:r>
    </w:p>
    <w:p>
      <w:r>
        <w:t>c.2) Metodologia para obtenção do peço estimado</w:t>
      </w:r>
    </w:p>
    <w:p>
      <w:r>
        <w:t>91. O preço estimado da contratação deve ser obtido utilizando-se a média, a mediana ou o menor dos valores obtidos na pesquisa de preços, desde que o cálculo incida sobre três ou mais preços coletados na pesquisa feita nos termos do art. 5° (art. 6°, IN SEGES/ME n. 65, de 2021).</w:t>
      </w:r>
    </w:p>
    <w:p>
      <w:r>
        <w:t>92. Devem ser desconsiderados os valores inexequíveis, inconsistentes e os excessivamente elevados (art. 6°).</w:t>
      </w:r>
    </w:p>
    <w:p>
      <w:r>
        <w:t>93. Admite-se a determinação de preço estimado com base em menos de três preços somente em casos excepcionais, mediante justificativa nos autos aprovada pela autoridade competente (art. 6°, § 5°).</w:t>
      </w:r>
    </w:p>
    <w:p>
      <w:r>
        <w:t>94. O preço estimado da contratação poderá ser obtido acrescentando ou subtraindo determinado percentual, de forma a aliar a atratividade do mercado e mitigar o risco de sobrepreço (art. 6°, § 2°).</w:t>
      </w:r>
    </w:p>
    <w:p>
      <w:r>
        <w:t>c.3) Formalização da pesquisa</w:t>
      </w:r>
    </w:p>
    <w:p>
      <w:r>
        <w:t>95. A pesquisa deve ser formalizada nos termos do art. 3° da IN SEGES/ME n. 65/2021, em documento único juntado aos autos, contendo:</w:t>
      </w:r>
    </w:p>
    <w:p>
      <w:r>
        <w:t> a identificação do agente/equipe responsável pela pesquisa;</w:t>
      </w:r>
    </w:p>
    <w:p>
      <w:r>
        <w:t> indicação das fontes consultadas;</w:t>
      </w:r>
    </w:p>
    <w:p>
      <w:r>
        <w:t> série de preços coletados;</w:t>
      </w:r>
    </w:p>
    <w:p>
      <w:r>
        <w:t> método estatístico usado para a definição do valor estimado;</w:t>
      </w:r>
    </w:p>
    <w:p>
      <w:r>
        <w:t> justificativas para a metodologia utilizada, em especial para a desconsideração de valores inconsistentes, inexequíveis ou excessivamente elevados;</w:t>
      </w:r>
    </w:p>
    <w:p>
      <w:r>
        <w:t> memória de cálculo do valor estimado e documentos que lhe dão suporte;</w:t>
      </w:r>
    </w:p>
    <w:p>
      <w:r>
        <w:t> justificativa da escolha dos fornecedores, no caso da pesquisa direta.</w:t>
      </w:r>
    </w:p>
    <w:p>
      <w:r>
        <w:t>96. Alerta-se: a mera juntada das telas de pesquisa ou os orçamentos obtidos não é suficiente, sendo necessária manifestação técnica conclusiva que analise criticamente os preços coletados, com a desconsideração dos preços inexequíveis ou excessivamente elevados (art. 6°, caput, §§ 3° e 4°, da IN SEGES/ME n. 65/2021).</w:t>
      </w:r>
    </w:p>
    <w:p>
      <w:r>
        <w:t>Recomendação:</w:t>
      </w:r>
    </w:p>
    <w:p>
      <w:r>
        <w:t>97.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formalizar a pesquisa em documento único (como "mapa de preços"), contendo as informações do art. 3° da IN SEGES/ME n. 65, de 2021; b. elaborar manifestação técnica conclusiva que analise criticamente os preços coletados, com a desconsideração dos preços inexequíveis ou excessivamente elevados.</w:t>
            </w:r>
          </w:p>
        </w:tc>
      </w:tr>
    </w:tbl>
    <w:p/>
    <w:p>
      <w:r>
        <w:t>a. formalizar a pesquisa em documento único (como "mapa de preços"), contendo as informações do art. 3° da IN SEGES/ME n. 65, de 2021;</w:t>
      </w:r>
    </w:p>
    <w:p>
      <w:r>
        <w:t>b. elaborar manifestação técnica conclusiva que analise criticamente os preços coletados, com a desconsideração dos preços inexequíveis ou excessivamente elevados.</w:t>
      </w:r>
    </w:p>
    <w:p>
      <w:r>
        <w:t>c.4) Orçamento sigiloso</w:t>
      </w:r>
    </w:p>
    <w:p>
      <w:r>
        <w:t>98. O art. 24 da Lei n. 14.133, de 2021, autoriza a Administração a optar pelo orçamento sigiloso, desde que de forma</w:t>
      </w:r>
    </w:p>
    <w:p>
      <w:r>
        <w:t>justificada, salvo se o critério de julgamento for o maior desconto, quando a publicidade do orçamento é obrigatória.</w:t>
      </w:r>
    </w:p>
    <w:p>
      <w:r>
        <w:t>99. Assim, caso a Administração opte por tornar o orçamento sigiloso, deve apresentar a devida justificativa (art. 18, XI, da Lei n. 14.133, de 2021).</w:t>
      </w:r>
    </w:p>
    <w:p>
      <w:r>
        <w:t>100. Alerta-se: o sigilo não prevalece para os órgãos de controle interno e externo, aos quais devem sempre ser franqueados os dados (art. 24, I).</w:t>
      </w:r>
    </w:p>
    <w:p>
      <w:r>
        <w:t>101. A Administração deverá ter cautela, ainda, quanto ao encaminhamento dos autos internamente e para a Procuradoria. Recomenda-se que o ente assessorado observe as normas da Portaria Normativa AGU n. 8, de 2021, que disciplina as formas de acesso, utilização e manutenção do módulo Administrativo do Sistema AGU de Inteligência Jurídica - SUPERSAPIENS.</w:t>
      </w:r>
    </w:p>
    <w:p>
      <w:r>
        <w:t>102. Devem ser observadas, também, as diretrizes constantes da Instrução Normativa SEGES/ME n. 73, de 2022, em especial, art. 12.</w:t>
      </w:r>
    </w:p>
    <w:p>
      <w:r>
        <w:t>d) justificativas para o parcelamento ou não da solução (inc. VIM):</w:t>
      </w:r>
    </w:p>
    <w:p>
      <w:r>
        <w:t>103. No caso das compras, o parcelamento do objeto é a regra, desde que seja tecnicamente viável e economicamente vantajoso (art. 40, V, "b", Lei n. 14.133/2021). Para aplicação do princípio do parcelamento, deverão ser considerados (art. 40, V, "b", § 2°, Lei n. 14.133/2021):</w:t>
      </w:r>
    </w:p>
    <w:p>
      <w:r>
        <w:t>I - a viabilidade da divisão do objeto em lotes;</w:t>
      </w:r>
    </w:p>
    <w:p>
      <w:r>
        <w:t>II - o aproveitamento das peculiaridades do mercado local, com vistas à economicidade, sempre que possível, desde que atendidos os parâmetros de qualidade; e</w:t>
      </w:r>
    </w:p>
    <w:p>
      <w:r>
        <w:t>III - o dever de buscar a ampliação da competição e de evitar a concentração de mercado.</w:t>
      </w:r>
    </w:p>
    <w:p>
      <w:r>
        <w:t>104. A Súmula TCU n. 247 dispõe sobre a obrigatoriedade da adjudicação por itens, sempre que houver divisibilidade técnica e econômica:</w:t>
      </w:r>
    </w:p>
    <w:p>
      <w:r>
        <w:t>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r>
        <w:t>105. A Lei n. 14.133, de 2021, prevê que o parcelamento não será adotado quando (art. 40, V, "b", § 3°):</w:t>
      </w:r>
    </w:p>
    <w:p>
      <w:r>
        <w:t>I - a economia de escala, a redução de custos de gestão de contratos ou a maior vantagem na contratação recomendar a compra do item do mesmo fornecedor;</w:t>
      </w:r>
    </w:p>
    <w:p>
      <w:r>
        <w:t>II - o objeto a ser contratado configurar sistema único e integrado e houver a possibilidade de risco ao conjunto do objeto pretendido;</w:t>
      </w:r>
    </w:p>
    <w:p>
      <w:r>
        <w:t>III - o processo de padronização ou de escolha de marca levar a fornecedor exclusivo.</w:t>
      </w:r>
    </w:p>
    <w:p>
      <w:r>
        <w:t>106. Atenção: o parcelamento do objeto é a regra. O agrupamento é medida excepcional, que deve ser justificada</w:t>
      </w:r>
    </w:p>
    <w:p>
      <w:r>
        <w:t>adequadamente. Nesse caso, a Administração deve demonstrar que não haverá restrição à competitividade e que é a melhor forma de atender ao interesse público, em especial, à vantajosidade da contratação (Acordão TCU n. 2529/2021 - Plenário).</w:t>
      </w:r>
    </w:p>
    <w:p>
      <w:r>
        <w:t>107. Destaca-se que a reunião, em um mesmo lote, de itens usualmente produzidos por empresas de ramos distintos, restringe o caráter competitivo da licitação (cf. Informativo de Licitações e Contratos n. 148/2013 - TCU).</w:t>
      </w:r>
    </w:p>
    <w:p>
      <w:r>
        <w:t>108. Se a contratação envolver diversas localidades do Estado/País, o agrupamento traz risco à competitividade do certame.</w:t>
      </w:r>
    </w:p>
    <w:p>
      <w:r>
        <w:t>Nesse caso, a Administração deve justificar a concentração do objeto à luz desse fato , pois, em tese, seria possível o parcelamento da contratação. O objetivo dessa recomendação é que haja uma melhor definição do objeto contratual, considerando a capacidade das empresas no mercado de executar o objeto na magnitude pretendida pela Administração, de forma a não restringir a competitividade.</w:t>
      </w:r>
    </w:p>
    <w:p>
      <w:r>
        <w:t>Recomendação:</w:t>
      </w:r>
    </w:p>
    <w:p>
      <w:r>
        <w:t>109.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observar a regra do parcelamento do objeto, nos termos do art. 40, V, "b", § 2°, da Lei n. 14.133, de 2021; b. justificar eventual agrupamento nos termos das orientações acima, observando que somente será possível o agrupamento se for comprovado que essa escolha é a que melhor atende o art. 40, § 3°, Lei n. 14.133/2021.</w:t>
            </w:r>
          </w:p>
        </w:tc>
      </w:tr>
    </w:tbl>
    <w:p/>
    <w:p>
      <w:r>
        <w:t>a. observar a regra do parcelamento do objeto, nos termos do art. 40, V, "b", § 2°, da Lei n. 14.133, de 2021;</w:t>
      </w:r>
    </w:p>
    <w:p>
      <w:r>
        <w:t>b. justificar eventual agrupamento nos termos das orientações acima, observando que somente será possível o agrupamento se for comprovado que essa escolha é a que melhor atende o art. 40, § 3°, Lei n. 14.133/2021.</w:t>
      </w:r>
    </w:p>
    <w:p>
      <w:r>
        <w:t>e) posicionamento conclusivo sobre a adequação da contratação para o atendimento da necessidade a que se destina (inc. XIII):</w:t>
      </w:r>
    </w:p>
    <w:p>
      <w:r>
        <w:t>110. Deve ser providenciado o posicionamento conclusivo sobre a adequação da contratação para o atendimento da necessidade pública.</w:t>
      </w:r>
    </w:p>
    <w:p>
      <w:r>
        <w:t>8.4 Mapa de Riscos</w:t>
      </w:r>
    </w:p>
    <w:p>
      <w:r>
        <w:t>111. O mapa de riscos deve conter a análise dos riscos que possam comprometer o sucesso da licitação e a boa execução contratual (art. 18, X, da Lei n. 14.133, de 2021). Deve ser elaborado no módulo de Gestão de Riscos Digital, conforme previsto no item 5.2 do Instrumento de Padronização dos Procedimentos de Contratação, com a indicação da probabilidade, impacto, responsável e ações preventiva e de contingência para cada um dos riscos (disponível em https://www.gov.br/agu/pt-br/composicao/cgu/cgu/ guias/instrumento-de-padronização-dos- procedimento-de-contratacao-agu-fev-2024.pdf).</w:t>
      </w:r>
    </w:p>
    <w:p>
      <w:r>
        <w:t>112. O "Mapa de Riscos" não se confunde com cláusula de matriz de risco, que pode constar da minuta de contrato e é considerada como a caracterizadora do equilíbrio econômico- financeiro inicial do contrato, em que se aloca, de forma prévia e acertada, a responsabilidade das partes por possível ônus financeiro decorrente de eventos supervenientes à contratação.</w:t>
      </w:r>
    </w:p>
    <w:p>
      <w:r>
        <w:t>Recomendação:</w:t>
      </w:r>
    </w:p>
    <w:p>
      <w:r>
        <w:t>113.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e juntar aos autos o mapa de riscos, adotando-se, para todas as fases da contratação, o modelo disponível no módulo de Gestão de Riscos Digital, com indicação do risco, da probabilidade, do impacto, do responsável e das ações preventiva e de contingência (art. 18, inciso X, da Lei n. 14.133, de 2021, e item 5.2 do IPP).</w:t>
            </w:r>
          </w:p>
        </w:tc>
      </w:tr>
    </w:tbl>
    <w:p/>
    <w:p>
      <w:r>
        <w:t>a. elaborar e juntar aos autos o mapa de riscos, adotando-se, para todas as fases da contratação, o modelo disponível no módulo de Gestão de Riscos Digital, com indicação do risco, da probabilidade, do impacto, do responsável e das ações preventiva e de contingência (art. 18, inciso X, da Lei n. 14.133, de 2021, e item 5.2 do IPP).</w:t>
      </w:r>
    </w:p>
    <w:p>
      <w:r>
        <w:t>8.5 Termo de Referência (TR)</w:t>
      </w:r>
    </w:p>
    <w:p>
      <w:r>
        <w:t>114. O Termo de Referência é documento obrigatório e necessário para a contratação de bens e serviços, sendo documento constitutivo da fase preparatória da instrução do processo de licitação (art. 3°, I, da IN SEGES/ME n. 81, de 2022.</w:t>
      </w:r>
    </w:p>
    <w:p>
      <w:r>
        <w:t>115. Na elaboração do Termo de Referência, a Administração deve observar os parâmetros e elementos definidos no art. 6°, XXIII, da Lei n. 14.133, de 2021, na IN SEGES/ME n. 81, de 2022, além do disposto no art. 40, § 1°, da Lei n. 14.133, de 2021, para o caso específico de compras:</w:t>
      </w:r>
    </w:p>
    <w:p>
      <w:r>
        <w:t>I - definição do objeto, incluídos:</w:t>
      </w:r>
    </w:p>
    <w:p>
      <w:r>
        <w:t>a) sua natureza, os quantitativos, o prazo do contrato e, se for o caso, a possibilidade de sua prorrogação;</w:t>
      </w:r>
    </w:p>
    <w:p>
      <w:r>
        <w:t>b) a especificação do bem ou do serviço, preferencialmente conforme catálogo eletrônico de padronização de que trata a Portaria n. 938, de 2 de fevereiro de 2022, observados os requisitos de qualidade, rendimento, compatibilidade, durabilidade e segurança;</w:t>
      </w:r>
    </w:p>
    <w:p>
      <w:r>
        <w:t>c) a indicação dos locais de entrega dos produtos e das regras para recebimentos provisório e definitivo, quando for o caso;</w:t>
      </w:r>
    </w:p>
    <w:p>
      <w:r>
        <w:t>d) a especificação da garantia exigida e das condições de manutenção e assistência técnica, quando for o caso;</w:t>
      </w:r>
    </w:p>
    <w:p>
      <w:r>
        <w:t>II - fundamentação da contratação, que consiste na referência aos estudos técnicos preliminares correspondentes, quando elaborados, ou, quando não for possível divulgar esses estudos, no extrato das partes que não contiverem informações sigilosas;</w:t>
      </w:r>
    </w:p>
    <w:p>
      <w:r>
        <w:t>III - descrição da solução como um todo, considerado todo o ciclo de vida do objeto, com preferência a arranjos inovadores em sede de economia circular;</w:t>
      </w:r>
    </w:p>
    <w:p>
      <w:r>
        <w:t>IV - requisitos da contratação;</w:t>
      </w:r>
    </w:p>
    <w:p>
      <w:r>
        <w:t>V - modelo de execução do objeto, que consiste na definição de como o contrato deverá produzir os resultados pretendidos desde o seu início até o seu encerramento;</w:t>
      </w:r>
    </w:p>
    <w:p>
      <w:r>
        <w:t>VI - modelo de gestão do contrato, que descreve como a execução do objeto será acompanhada e fiscalizada pelo órgão ou entidade;</w:t>
      </w:r>
    </w:p>
    <w:p>
      <w:r>
        <w:t>VII - critérios de medição e de pagamento;</w:t>
      </w:r>
    </w:p>
    <w:p>
      <w:r>
        <w:t>VIII - forma e critérios de seleção do fornecedor, optando-se pelo critério de julgamento de técnica e preço, conforme o disposto no § 1° do art. 36 da Lei n. 14.133, de 2021, sempre que a avaliação e a ponderação da qualidade técnica das propostas que superarem os requisitos mínimos estabelecidos no edital forem relevantes aos fins pretendidos pela Administração;</w:t>
      </w:r>
    </w:p>
    <w:p>
      <w:r>
        <w:t>IX - estimativas do valor da contratação, nos termos da Instrução Normativa n. 65, de 7 de julho de 2021, acompanhadas dos preços unitários referenciais, das memórias de cálculo e dos documentos que lhe dão suporte, com os parâmetros utilizados para a obtenção dos preços e para os respectivos cálculos, que devem constar de documento separado e classificado; e</w:t>
      </w:r>
    </w:p>
    <w:p>
      <w:r>
        <w:t>X - adequação orçamentária, quando não se tratar de sistema de registro de preços.</w:t>
      </w:r>
    </w:p>
    <w:p>
      <w:r>
        <w:t>116. Destaca-se a necessidade de compatibilizar o conteúdo dos estudos preliminares com o termo de referência, de modo que não existam contradições entre os documentos.</w:t>
      </w:r>
    </w:p>
    <w:p>
      <w:r>
        <w:t>Recomendação:</w:t>
      </w:r>
    </w:p>
    <w:p>
      <w:r>
        <w:t>117 .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TR utilizando o modelo padronizado pela AGU, em sua versão mais recente, contendo todos os elementos necessários, nos termos acima informados; b. indicar eventuais alterações, exclusões ou inclusões nas partes editáveis do modelo, acompanhadas das respectivas justificativas; c. elaborar o TR no Sistema TR Digital, nos termos do art. 4° da IN SEGES/ME n. 81 /2022; d. compatibilizar o conteúdo do ETP com o TR, evitando contradições entre os documentos.</w:t>
            </w:r>
          </w:p>
        </w:tc>
      </w:tr>
    </w:tbl>
    <w:p/>
    <w:p>
      <w:r>
        <w:t>a. elaborar o TR utilizando o modelo padronizado pela AGU, em sua versão mais recente, contendo todos os elementos necessários, nos termos acima informados;</w:t>
      </w:r>
    </w:p>
    <w:p>
      <w:r>
        <w:t>b. indicar eventuais alterações, exclusões ou inclusões nas partes editáveis do modelo, acompanhadas das respectivas justificativas;</w:t>
      </w:r>
    </w:p>
    <w:p>
      <w:r>
        <w:t>c. elaborar o TR no Sistema TR Digital, nos termos do art. 4° da IN SEGES/ME n. 81 /2022;</w:t>
      </w:r>
    </w:p>
    <w:p>
      <w:r>
        <w:t>d. compatibilizar o conteúdo do ETP com o TR, evitando contradições entre os documentos.</w:t>
      </w:r>
    </w:p>
    <w:p>
      <w:r>
        <w:t>118. Destacam-se, abaixo, elementos relevantes do TR.</w:t>
      </w:r>
    </w:p>
    <w:p>
      <w:r>
        <w:t>a) alinhamento com o Plano de Contratações Anual e com o Plano Diretor de Logística Sustentável, além de outros instrumentos de planejamento da Administração:</w:t>
      </w:r>
    </w:p>
    <w:p>
      <w:r>
        <w:t>119. O Decreto n. 10.947, de 2022, exige que as contratações estejam previstas e contempladas no Plano de Contratações Anual (PCA), em atenção ao art. 12, VII, da Lei n. 14.133, de 2021.</w:t>
      </w:r>
    </w:p>
    <w:p>
      <w:r>
        <w:t>120. O art. 7° da IN SEGES/ME n. 81/2022, c/c e Portaria SEGES/ME n. 8.678, de 2021, determinam que o TR esteja alinhado ao PCA e ao Plano Diretor de Logística Sustentável da entidade.</w:t>
      </w:r>
    </w:p>
    <w:p>
      <w:r>
        <w:t>Recomendação:</w:t>
      </w:r>
    </w:p>
    <w:p>
      <w:r>
        <w:t>121.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que a contratação pretendida está contemplada no Plano de Contratações Anual da entidade e alinhada com o Plano Diretor de Logística Sustentável e incluir tal informação no TR.</w:t>
            </w:r>
          </w:p>
        </w:tc>
      </w:tr>
    </w:tbl>
    <w:p/>
    <w:p>
      <w:r>
        <w:t>a. comprovar que a contratação pretendida está contemplada no Plano de Contratações Anual da entidade e alinhada com o Plano Diretor de Logística Sustentável e incluir tal informação no TR.</w:t>
      </w:r>
    </w:p>
    <w:p>
      <w:r>
        <w:t>b) previsão de critérios de sustentabilidade:</w:t>
      </w:r>
    </w:p>
    <w:p>
      <w:r>
        <w:t>122. As especificações do objeto devem contemplar critérios de sustentabilidade ambiental, devendo a Administração formular as exigências de forma a não frustrar a competitividade.</w:t>
      </w:r>
    </w:p>
    <w:p>
      <w:r>
        <w:t>123. Deverão ser tomados os seguintes cuidados, (art. 5°, art. 11, IV, art. 18, § 1°, XII, e § 2°, da Lei n. 14.133, de 2021, art. 7°, XI, da Lei n. 12.305, de 2010 e art. 9°, II e XII, da IN SEGES n. 58/2022):</w:t>
      </w:r>
    </w:p>
    <w:p>
      <w:r>
        <w:t>a) definir os critérios e práticas objetivamente no instrumento convocatório como especificação técnica do objeto, obrigação da contratada ou requisito previsto em lei especial;</w:t>
      </w:r>
    </w:p>
    <w:p>
      <w:r>
        <w:t>b) justificar a exigência nos autos;</w:t>
      </w:r>
    </w:p>
    <w:p>
      <w:r>
        <w:t>c) verificar se os critérios e práticas preservam o caráter competitivo do certame;</w:t>
      </w:r>
    </w:p>
    <w:p>
      <w:r>
        <w:t>d) verificar o alinhamento da contratação com o Plano de Gestão de Logística Sustentável;</w:t>
      </w:r>
    </w:p>
    <w:p>
      <w:r>
        <w:t>e) priorização de aquisições de produtos reciclados e/ou recicláveis.</w:t>
      </w:r>
    </w:p>
    <w:p>
      <w:r>
        <w:t>124. Para tanto, deve ser feita consulta ao "Guia Nacional de Contratações Sustentáveis", disponibilizado pela Advocacia-Geral da União no sítio eletrônico:https://www.gov.br/agu/pt-br/composicao/cgu/cgu/modelos/licitacoesecontratos/licitacoes-sustentaveis.</w:t>
      </w:r>
    </w:p>
    <w:p>
      <w:r>
        <w:t>125. Se os bens não se sujeitarem a critérios de sustentabilidade ou se as especificações restringirem indevidamente a competição em dado mercado, a Administração deverá apresentar justificativa nos autos.</w:t>
      </w:r>
    </w:p>
    <w:p>
      <w:r>
        <w:t>126. Atenção: evitar previsões genéricas e relativas a outros tipos de contratação, conforme orienta o Guia Nacional de Licitações Sustentáveis da AGU.</w:t>
      </w:r>
    </w:p>
    <w:p>
      <w:r>
        <w:t>Recomendação:</w:t>
      </w:r>
    </w:p>
    <w:p>
      <w:r>
        <w:t>127.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consultar o Guia Nacional de Contratações Sustentáveis, incluindo no TR os requisitos de sustentabilidade previstos; b. caso o objeto contratual não conste no Guia, devem ser verificadas normas específicas sobre o bem, conforme orientação do Guia; c. se o bem não se sujeitar a critérios de sustentabilidade ou se as especificações restringirem indevidamente a competição em dado mercado, a Administração deverá apresentar justificativa.</w:t>
            </w:r>
          </w:p>
        </w:tc>
      </w:tr>
    </w:tbl>
    <w:p/>
    <w:p>
      <w:r>
        <w:t>a. consultar o Guia Nacional de Contratações Sustentáveis, incluindo no TR os requisitos de sustentabilidade previstos;</w:t>
      </w:r>
    </w:p>
    <w:p>
      <w:r>
        <w:t>b. caso o objeto contratual não conste no Guia, devem ser verificadas normas específicas sobre o bem, conforme orientação do Guia;</w:t>
      </w:r>
    </w:p>
    <w:p>
      <w:r>
        <w:t>c. se o bem não se sujeitar a critérios de sustentabilidade ou se as especificações restringirem indevidamente a competição em dado mercado, a Administração deverá apresentar justificativa.</w:t>
      </w:r>
    </w:p>
    <w:p>
      <w:r>
        <w:t>c) observação do catálogo de padronização:</w:t>
      </w:r>
    </w:p>
    <w:p>
      <w:r>
        <w:t>128. O catálogo eletrônico de padronização, definido pelo art. 6°, inciso LI, da Lei n. 14.133, de 2021, encontra-se regulamentado pela Portaria SEGES/ME n. 938, de 2022.</w:t>
      </w:r>
    </w:p>
    <w:p>
      <w:r>
        <w:t>129. O uso do catálogo de padronização é, via de regra, obrigatório. A não utilização do catálogo de padronização é situação excepcional, a ser justificada por escrito nos autos (art. 10, parágrafo único, da Portaria SEGES/ME n. 938, de 2022).</w:t>
      </w:r>
    </w:p>
    <w:p>
      <w:r>
        <w:t>130. Portanto, se o bem a ser adquirido se encontrar contemplado no catálogo, as minutas ali padronizadas devem ser, obrigatoriamente, utilizadas. Caso não sejam, deve haver justificativa adequada, inclusive em relação à eventual desatualização dos modelos.</w:t>
      </w:r>
    </w:p>
    <w:p>
      <w:r>
        <w:t>131. Alerta-se: se o objeto da licitação for composto por itens contemplados e itens não contemplados, a Administração deve atentar para que sejam observadas as especificações técnicas e demais requisitos constantes do catálogo.</w:t>
      </w:r>
    </w:p>
    <w:p>
      <w:r>
        <w:t>Recomendação:</w:t>
      </w:r>
    </w:p>
    <w:p>
      <w:r>
        <w:t>132.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verificar se o objeto da licitação está contemplado no catálogo eletrônico de padronização; b. caso o objeto esteja contemplado, devem ser utilizadas as minutas padronizadas do catálogo ou apresentada justificativa; c . se o objeto for composto por itens contemplados e itens não contemplados, atentar para que sejam observadas as especificações técnicas e demais requisitos constantes do catálogo.</w:t>
            </w:r>
          </w:p>
        </w:tc>
      </w:tr>
    </w:tbl>
    <w:p/>
    <w:p>
      <w:r>
        <w:t>a. verificar se o objeto da licitação está contemplado no catálogo eletrônico de padronização;</w:t>
      </w:r>
    </w:p>
    <w:p>
      <w:r>
        <w:t>b. caso o objeto esteja contemplado, devem ser utilizadas as minutas padronizadas do catálogo ou apresentada justificativa;</w:t>
      </w:r>
    </w:p>
    <w:p>
      <w:r>
        <w:t>c . se o objeto for composto por itens contemplados e itens não contemplados, atentar para que sejam observadas as especificações técnicas e demais requisitos constantes do catálogo.</w:t>
      </w:r>
    </w:p>
    <w:p>
      <w:r>
        <w:t>d) condições gerais da contratação</w:t>
      </w:r>
    </w:p>
    <w:p>
      <w:r>
        <w:t>133. A Administração deve certificar que o bem não se enquadra como bem de luxo. Atentar para a vedação de aquisição de bem de luxo disposta no art. 20 da Lei n. 14.133/2021. Considera-se bem de luxo o bem de consumo de alta elasticidade-renda da demanda, tendo como características a ostentação, opulência, forte apelo estético ou requinte (art. 2° do Decreto n. 10.818, de 2021). Os itens de consumo deverão ser de qualidade comum, não superior à necessária para cumprir as finalidades a que se destinam.</w:t>
      </w:r>
    </w:p>
    <w:p>
      <w:r>
        <w:t>134. As especificações do objeto devem ser claras e precisas, contemplando eventuais requisitos específicos, observando o catálogo eletrônico de padronização, se for o caso (como, por exemplo, no caso de água mineral). O gestor deve atentar para que as especificações não restrinjam a competitividade.</w:t>
      </w:r>
    </w:p>
    <w:p>
      <w:r>
        <w:t>135. Devem ser fixados preços unitários máximos para cada item do objeto (art. 6°, inciso XXIII, alínea "i", art. 23, § 1°, inciso I, da Lei n. 14.133/2021 c/c art. 5°, inc. I, da IN SEGES/ME n. 65, de 7 de julho de 2021).</w:t>
      </w:r>
    </w:p>
    <w:p>
      <w:r>
        <w:t>Recomendação:</w:t>
      </w:r>
    </w:p>
    <w:p>
      <w:r>
        <w:t>136.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certificar que o bem não se enquadra como bem de luxo; b. assegurar que as especificações sejam precisas e adequadas a satisfazer a necessidade pública; c. assegurar que as especificações não restringem a competitividade do certame; d. fixar os preços unitários para cada item do objeto.</w:t>
            </w:r>
          </w:p>
        </w:tc>
      </w:tr>
    </w:tbl>
    <w:p/>
    <w:p>
      <w:r>
        <w:t>a. certificar que o bem não se enquadra como bem de luxo;</w:t>
      </w:r>
    </w:p>
    <w:p>
      <w:r>
        <w:t>b. assegurar que as especificações sejam precisas e adequadas a satisfazer a necessidade pública;</w:t>
      </w:r>
    </w:p>
    <w:p>
      <w:r>
        <w:t>c. assegurar que as especificações não restringem a competitividade do certame;</w:t>
      </w:r>
    </w:p>
    <w:p>
      <w:r>
        <w:t>d. fixar os preços unitários para cada item do objeto.</w:t>
      </w:r>
    </w:p>
    <w:p>
      <w:r>
        <w:t>e) vigência e regime de fornecimento dos bens</w:t>
      </w:r>
    </w:p>
    <w:p>
      <w:r>
        <w:t>137. Deve ser informado o prazo de vigência da contratação, ainda que haja substituição do termo de contrato, o que pode ser feito, por exemplo, por nota de empenho ou outro instrumento equivalente, se admitido. Não é necessário que o prazo de vigência seja de 12 meses, devendo ser adequado às condições impostas ao contratado, como prazo de entrega e demais providências previstas no contrato, desde que limitado aos créditos orçamentários.</w:t>
      </w:r>
    </w:p>
    <w:p>
      <w:r>
        <w:t>138. Atenção: a validade da ata de registro de preços não se confunde com vigência da contratação, uma vez que ata e contrato são institutos diversos. O contrato deriva da ata e deve ser celebrado durante sua validade, porém, tem vigência própria. A ata de registro de preços não substitui o contrato. Assim, deverá ser informada a vigência da contratação, ainda que haja substituição do termo de contrato. Portanto, o prazo da contratação não pode ser contado a partir da assinatura da ata de registro de preços. São prazos independentes e próprios. O prazo da contratação, a ser inserido no TR, deve ser contado da assinatura do termo contratual ou de data futura a ser indicada.</w:t>
      </w:r>
    </w:p>
    <w:p>
      <w:r>
        <w:t>139. A Administração deve observar, ainda, se a contratação será para fornecimento contínuo (art. 106 e 107 da Lei n.</w:t>
      </w:r>
    </w:p>
    <w:p>
      <w:r>
        <w:t>14.133, de 2021) ou por escopo (art. 105 da Lei n. 14.133, de 2021), adotando a redação adequada da vigência da contratação.</w:t>
      </w:r>
    </w:p>
    <w:p>
      <w:r>
        <w:t>140. Alerta-se: existem três tipos de regime de fornecimento de bens previstos na Lei n. 14.133, de 2021:</w:t>
      </w:r>
    </w:p>
    <w:p>
      <w:r>
        <w:t> fornecimento integral, que é aquele em que a entrega ocorre de uma só vez, de forma imediata ou não, sendo considerada como imediata se ocorrer dentro do prazo máximo de 30 dias da ordem de fornecimento (art. 6°, X);</w:t>
      </w:r>
    </w:p>
    <w:p>
      <w:r>
        <w:t> fornecimento parcelado, que é aquele em que a entrega ocorre de forma fracionada durante um período de tempo pré-determinado, sendo necessário indicar no TR as parcelas, condições e prazos, além da forma de recebimento e pagamento;</w:t>
      </w:r>
    </w:p>
    <w:p>
      <w:r>
        <w:t> fornecimento contínuo, que são as compras realizadas pela Administração para a manutenção da atividade administrativa, decorrentes de necessidades permanentes ou prolongadas (art. 6°, XV).</w:t>
      </w:r>
    </w:p>
    <w:p>
      <w:r>
        <w:t>141. Atenção: se o prazo de entrega é de até 30 (trinta) dias contados a partir da solicitação, em remessa única, a entrega, sempre que solicitada, será única e integral e não parcelada. A aquisição em quantidade inferior ao total registrado não implica em entrega parcelada se a quantidade a ser entregue for o total adquirido naquela solicitação e sua entrega ocorrer em até 30 dias da ordem de fornecimento. Assim, recomenda-se certificar a condição de entrega e forma de fornecimento em conformidade com o interesse da Administração e de acordo com as orientações acima expostas.</w:t>
      </w:r>
    </w:p>
    <w:p>
      <w:r>
        <w:t>Recomendação:</w:t>
      </w:r>
    </w:p>
    <w:p>
      <w:r>
        <w:t>142.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definir o regime de fornecimento do bem, de forma justificada; b. definir o prazo de vigência da contratação, que deve ser suficiente para que sejam cumpridas as obrigações contratuais; c. não confundir o prazo de vigência da contratação com a vigência da ata de registro de preços.</w:t>
            </w:r>
          </w:p>
        </w:tc>
      </w:tr>
    </w:tbl>
    <w:p/>
    <w:p>
      <w:r>
        <w:t>a. definir o regime de fornecimento do bem, de forma justificada;</w:t>
      </w:r>
    </w:p>
    <w:p>
      <w:r>
        <w:t>b. definir o prazo de vigência da contratação, que deve ser suficiente para que sejam cumpridas as obrigações contratuais;</w:t>
      </w:r>
    </w:p>
    <w:p>
      <w:r>
        <w:t>c. não confundir o prazo de vigência da contratação com a vigência da ata de registro de preços.</w:t>
      </w:r>
    </w:p>
    <w:p>
      <w:r>
        <w:t>f) indicação ou vedação de marca</w:t>
      </w:r>
    </w:p>
    <w:p>
      <w:r>
        <w:t>143. O art. 41, I, da Lei n. 14.133, de 2021, admite a indicação de uma ou mais marcas ou modelos, de forma excepcional e devidamente justificada. As hipóteses que autorizam tal indicação são taxativas e, ainda que presentes, exigem justificativa:</w:t>
      </w:r>
    </w:p>
    <w:p>
      <w:r>
        <w:t>a) em decorrência da necessidade de padronização do objeto;</w:t>
      </w:r>
    </w:p>
    <w:p>
      <w:r>
        <w:t>b) em decorrência da necessidade de manter a compatibilidade com plataformas e padrões já adotados pela Administração;</w:t>
      </w:r>
    </w:p>
    <w:p>
      <w:r>
        <w:t>c) quando determinada marca ou modelo comercializados por mais de um fornecedor forem os únicos capazes de atender às necessidades do contratante;</w:t>
      </w:r>
    </w:p>
    <w:p>
      <w:r>
        <w:t>d) quando a descrição do objeto a ser licitado puder ser mais bem compreendida pela identificação de determinada marca ou determinado modelo aptos a servir apenas como referência.</w:t>
      </w:r>
    </w:p>
    <w:p>
      <w:r>
        <w:t>144. Alerta-se: é possível que o licitante apresente prova de qualidade de produto similar aos das marcas eventualmente indicadas, nos termos do art. 42 da Lei n. 14.133, de 2021.</w:t>
      </w:r>
    </w:p>
    <w:p>
      <w:r>
        <w:t>145. Atenção: observar o disposto no art. 40, § 3°, da Lei n. 14.133, de 2021, que dispõe que o parcelamento não será adotado quando o processo de padronização ou de escolha de marca levar a fornecedor exclusivo.</w:t>
      </w:r>
    </w:p>
    <w:p>
      <w:r>
        <w:t>146. De outro lado, é possível vedar a contratação de marca ou produto, quando, mediante processo administrativo, restar comprovado que produtos adquiridos e utilizados anteriormente pela Administração não atendem a requisitos indispensáveis ao pleno adimplemento da obrigação contratual, conforme art. 41, III, da Lei n. 14.133, de 2021.</w:t>
      </w:r>
    </w:p>
    <w:p>
      <w:r>
        <w:t>Recomendação:</w:t>
      </w:r>
    </w:p>
    <w:p>
      <w:r>
        <w:t>147.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eventual indicação de marca na especificação do objeto, demonstrando sua necessidade (art. 41, inciso I, da Lei n. 14.133/2021 c/c Súmula 270 do TCU); b. é possível inserir expressões como "equivalente ou similar" às marcas indicadas, na especificação do bem.</w:t>
            </w:r>
          </w:p>
        </w:tc>
      </w:tr>
    </w:tbl>
    <w:p/>
    <w:p>
      <w:r>
        <w:t>a. justificar eventual indicação de marca na especificação do objeto, demonstrando sua necessidade (art. 41, inciso I, da Lei n. 14.133/2021 c/c Súmula 270 do TCU);</w:t>
      </w:r>
    </w:p>
    <w:p>
      <w:r>
        <w:t>b. é possível inserir expressões como "equivalente ou similar" às marcas indicadas, na especificação do bem.</w:t>
      </w:r>
    </w:p>
    <w:p>
      <w:r>
        <w:t>g) amostra</w:t>
      </w:r>
    </w:p>
    <w:p>
      <w:r>
        <w:t>148. A exigência de amostra, exame de conformidade ou prova de conceito serve para comprovar a aderência do produto ofertado às especificações definidas no termo de referência. Está prevista no art. 17, § 3°, art. 41, inciso II, e art. 42, § 2°, todos da Lei n. 14.133, de 2021, e art. 29, § 1°, da Instrução Normativa SEGES/ME n. 73, de 2022.</w:t>
      </w:r>
    </w:p>
    <w:p>
      <w:r>
        <w:t>149. Trata-se de medida excepcional, que deve ser devidamente justificada nos autos. Registre-se que o julgamento pelo menor preço pode atrair o fornecimento de bens de pouca qualidade, devendo a Administração adotar cautelas para não adquirir material imprestável e, mais importante, evitar repetidamente contratar nessas condições.</w:t>
      </w:r>
    </w:p>
    <w:p>
      <w:r>
        <w:t>150. Alerta-se: havendo mais de um item na licitação, os itens para os quais serão exigidas as amostras devem estar expressamente especificados no TR.</w:t>
      </w:r>
    </w:p>
    <w:p>
      <w:r>
        <w:t>151. Os aspectos e padrões mínimos de aceitabilidade que serão avaliados devem ser informados, preenchendo adequadamente os itens respectivos do TR. Atenção: não deve ser feita exigência genérica, sem especificação dos padrões mínimos de aceitabilidade e os aspectos que serão avaliados.</w:t>
      </w:r>
    </w:p>
    <w:p>
      <w:r>
        <w:t>152. O item relativo à amostra deve ser adequadamente preenchido, inserindo todos os dispositivos específicos da minuta padrão e observar, em especial:</w:t>
      </w:r>
    </w:p>
    <w:p>
      <w:r>
        <w:t>- exigir amostras apenas do licitante melhor classificado em prazo reputado pela Administração Pública como razoável (Acórdãos TCU n. 538/2015 - Plenário e n. 2.796/2013</w:t>
      </w:r>
    </w:p>
    <w:p>
      <w:r>
        <w:t>- Plenário);</w:t>
      </w:r>
    </w:p>
    <w:p>
      <w:r>
        <w:t>- detalhar as regras para avaliação objetiva das amostras (Acórdão TCU n. 1.491/2016 - Plenário);</w:t>
      </w:r>
    </w:p>
    <w:p>
      <w:r>
        <w:t>- prever, expressamente, penalidade para a hipótese de não apresentação das amostras exigidas dentro do prazo estipulado pelo certame (Acórdão TCU n. 299/2011 - Plenário).</w:t>
      </w:r>
    </w:p>
    <w:p>
      <w:r>
        <w:t>Recomendação:</w:t>
      </w:r>
    </w:p>
    <w:p>
      <w:r>
        <w:t>153.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eventual exigência de amostra do produto; b. indicar com clareza e precisão sobre quais itens do objeto recairá a exigência de amostra; c. especificar os aspectos que serão analisados e os padrões mínimos de aceitabilidade; d. observar as recomendações do TCU acima indicadas.</w:t>
            </w:r>
          </w:p>
        </w:tc>
      </w:tr>
    </w:tbl>
    <w:p/>
    <w:p>
      <w:r>
        <w:t>a. justificar eventual exigência de amostra do produto;</w:t>
      </w:r>
    </w:p>
    <w:p>
      <w:r>
        <w:t>b. indicar com clareza e precisão sobre quais itens do objeto recairá a exigência de amostra;</w:t>
      </w:r>
    </w:p>
    <w:p>
      <w:r>
        <w:t>c. especificar os aspectos que serão analisados e os padrões mínimos de aceitabilidade;</w:t>
      </w:r>
    </w:p>
    <w:p>
      <w:r>
        <w:t>d. observar as recomendações do TCU acima indicadas.</w:t>
      </w:r>
    </w:p>
    <w:p>
      <w:r>
        <w:t>h) margens de preferência</w:t>
      </w:r>
    </w:p>
    <w:p>
      <w:r>
        <w:t>154. O art. 26 da Lei n. 14.133, de 2021, previu a possibilidade de serem estabelecidas margens de preferência para bens manufaturados nacionais que atendam a normas técnicas brasileiras e bens reciclados, recicláveis ou biodegradáveis, conforme regulamento.</w:t>
      </w:r>
    </w:p>
    <w:p>
      <w:r>
        <w:t>155. O Decreto n. 11.890, de 2024, regulamenta a questão e dispõe:</w:t>
      </w:r>
    </w:p>
    <w:p>
      <w:r>
        <w:t>Art. 3° Nos processos de licitação realizados no âmbito da administração pública federal direta, autárquica e fundacional, os produtos manufaturados nacionais e os serviços nacionais que atendam aos regulamentos técnicos pertinentes e às normas técnicas brasileiras poderão ser objeto de margem de preferência normal, na forma prevista em resolução da CICS, de até dez por cento sobre o preço dos produtos manufaturados estrangeiros ou dos serviços estrangeiros.</w:t>
      </w:r>
    </w:p>
    <w:p>
      <w:r>
        <w:t>Recomendação:</w:t>
      </w:r>
    </w:p>
    <w:p>
      <w:r>
        <w:t>156.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verificar se o bem objeto da contratação está contemplado com margem de preferência normal ou adicional, conforme resoluções da Comissão Interministerial de Contratações Públicas para o Desenvolvimento Sustentável - CICS; b. se for o caso, justificar o enquadramento e inserir o item pertinente do TR; c. observar o art. 27 da Lei n. 14.133, de 2021.</w:t>
            </w:r>
          </w:p>
        </w:tc>
      </w:tr>
    </w:tbl>
    <w:p/>
    <w:p>
      <w:r>
        <w:t>a. verificar se o bem objeto da contratação está contemplado com margem de preferência normal ou adicional, conforme resoluções da Comissão Interministerial de Contratações Públicas para o Desenvolvimento Sustentável - CICS;</w:t>
      </w:r>
    </w:p>
    <w:p>
      <w:r>
        <w:t>b. se for o caso, justificar o enquadramento e inserir o item pertinente do TR;</w:t>
      </w:r>
    </w:p>
    <w:p>
      <w:r>
        <w:t>c. observar o art. 27 da Lei n. 14.133, de 2021.</w:t>
      </w:r>
    </w:p>
    <w:p>
      <w:r>
        <w:t>i) subcontratação</w:t>
      </w:r>
    </w:p>
    <w:p>
      <w:r>
        <w:t>157. Importa registrar que não pode ser admitida subcontratação para o fornecimento de bens, exceto quando estiver vinculado à prestação de serviços acessórios, conforme nota explicativa da minuta padrão.</w:t>
      </w:r>
    </w:p>
    <w:p>
      <w:r>
        <w:t>158. Observe-se, ainda, que é vedada a subcontratação completa ou da parcela principal da obrigação (Decreto n. 8.538, de 2015, art. 7°, I e § 2°). Nesses termos, a despeito do art. 122 da Lei n. 14.133/2021 mencionar a possibilidade de subcontratação para fornecimento, deve haver uma prestação de serviço acessório envolvida, pois, caso contrário, a subcontratação envolverá, necessariamente, a parcela principal do objeto.</w:t>
      </w:r>
    </w:p>
    <w:p>
      <w:r>
        <w:t>j) garantia, manutenção e assistência técnica</w:t>
      </w:r>
    </w:p>
    <w:p>
      <w:r>
        <w:t>159. A garantia legal é aquela estabelecida no Código de Defesa do Consumidor (Lei n. 8.078, de 1990). Portanto, se essa garantia for suficiente para os bens objeto da contratação, basta ser utilizada a redação correspondente na minuta padrão.</w:t>
      </w:r>
    </w:p>
    <w:p>
      <w:r>
        <w:t>160. É possível, ainda, exigir a garantia contratual dos bens, complementar à legal, que deve ser devidamente justificada.</w:t>
      </w:r>
    </w:p>
    <w:p>
      <w:r>
        <w:t>161. A garantia contratual não tem vigência atrelada à duração do contrato e pode ser definida por período diferente da vigência contratual, conforme Orientação Normativa AGU n. 51, de 2014, válida perante a Lei n. 14.133, de 2021:</w:t>
      </w:r>
    </w:p>
    <w:p>
      <w:r>
        <w:t>A garantia legal ou contratual do objeto tem prazo de vigência próprio e desvinculado daquele fixado no contrato, permitindo eventual aplicação de penalidades</w:t>
      </w:r>
    </w:p>
    <w:p>
      <w:r>
        <w:t>em caso de descumprimento de alguma de suas condições, mesmo depois de expirada a vigência contratual.</w:t>
      </w:r>
    </w:p>
    <w:p>
      <w:r>
        <w:t>162. Atenção: na hipótese de garantia contratual dos bens, manutenção ou assistência técnica, será necessária assinatura de contrato, pois a situação não se encaixará no inciso II do art. 95 da Lei n. 14.133, de 2021.</w:t>
      </w:r>
    </w:p>
    <w:p>
      <w:r>
        <w:t>k) critérios de medição e pagamento</w:t>
      </w:r>
    </w:p>
    <w:p>
      <w:r>
        <w:t>163. Devem ser observadas as disposições da Instrução Normativa SEGES/ME n. 77, de 2022, que já vêm contempladas na redação da minuta padrão da AGU. Nesses termos, recomenda-se que a redação seja mantida sem alterações, de forma a evitar questionamentos, cabendo apenas o preenchimento das partes editáveis, observando-se as notas explicativas respectivas.</w:t>
      </w:r>
    </w:p>
    <w:p>
      <w:r>
        <w:t>l) antecipação do pagamento</w:t>
      </w:r>
    </w:p>
    <w:p>
      <w:r>
        <w:t>164. O art. 145, § 1°, da Lei n. 14.133, de 2021, permitiu, excepcionalmente, a antecipação do pagamento, se propiciar sensível economia de recursos ou se representar condição indispensável para a obtenção do bem. Exige-se justificativa técnica e expressa previsão no instrumento convocatório.</w:t>
      </w:r>
    </w:p>
    <w:p>
      <w:r>
        <w:t>165. Assim, deve a Administração analisar se o mercado opera com exigências comerciais específicas para o produto, o que levaria à inviabilidade da contratação caso não haja a antecipação do pagamento.</w:t>
      </w:r>
    </w:p>
    <w:p>
      <w:r>
        <w:t>166. A respeito do assunto, a AGU editou a Orientação Normativa AGU n. 76, de 2023:</w:t>
      </w:r>
    </w:p>
    <w:p>
      <w:r>
        <w:t>I - Nos contratos administrativos regidos pela Lei n. 14.133, de 2021, em regra, é vedado o pagamento antecipado, parcial ou total, do objeto contratado, sendo excepcionalmente admitido desde que, motivadamente, seja justificado o preenchimento cumulativo dos seguintes requisitos:</w:t>
      </w:r>
    </w:p>
    <w:p>
      <w:r>
        <w:t>a) a medida proporcione sensível economia de recursos ou represente condição indispensável para a consecução do objeto;</w:t>
      </w:r>
    </w:p>
    <w:p>
      <w:r>
        <w:t>b) haja previsão expressa no edital de licitação ou no instrumento formal de contratação direta; e</w:t>
      </w:r>
    </w:p>
    <w:p>
      <w:r>
        <w:t>c) contenha no instrumento convocatório ou no contrato como cautela obrigatória a exigência de devolução do valor antecipado caso não haja execução do objeto no prazo contratual.</w:t>
      </w:r>
    </w:p>
    <w:p>
      <w:r>
        <w:t>II - A partir do exame das circunstâncias que são próprias de cada caso concreto, e para resguardar o interesse público e prejuízos ao erário, poderá, ainda, a administração exigir garantias adicionais para fins de admissão do pagamento antecipado, na forma do art. 92, inciso XII, e art. 96, da Lei n. 14.133, de 2021, bem como poderá adotar outras cautelas, tais como: comprovação da execução de parte ou de etapa inicial do objeto pelo contratado para a antecipação do valor remanescente; emissão de título de crédito pelo contratado; acompanhamento da mercadoria, em qualquer momento do transporte, por representante da administração; exigência de certificação do produto ou do fornecedor; dentre outras.</w:t>
      </w:r>
    </w:p>
    <w:p>
      <w:r>
        <w:t>167. Em resumo, para que seja viabilizada a antecipação do pagamento, é necessário que a Administração apresente justificativa e comprove o atendimento dos seguintes requisitos:</w:t>
      </w:r>
    </w:p>
    <w:p>
      <w:r>
        <w:t>° a medida deve proporcionar sensível economia de recursos ou representar condição indispensável para a consecução do objeto;</w:t>
      </w:r>
    </w:p>
    <w:p>
      <w:r>
        <w:t>° haja previsão expressa no edital de licitação;</w:t>
      </w:r>
    </w:p>
    <w:p>
      <w:r>
        <w:t>° contenha no instrumento convocatório ou no contrato como cautela obrigatória a exigência de devolução do valor antecipado caso não haja execução do objeto no prazo contratual.</w:t>
      </w:r>
    </w:p>
    <w:p>
      <w:r>
        <w:t>168. A Administração pode, ainda, adotar cautelas adicionais para resguardar o erário, tais como:</w:t>
      </w:r>
    </w:p>
    <w:p>
      <w:r>
        <w:t>° exigir garantias adicionais, na forma do art. 92, inciso XII, e art. 96 da Lei n. 14.133, de 2021; o exigir a comprovação a execução de parte ou de etapa inicial do objeto pelo contratado para a antecipação do valor remanescente;</w:t>
      </w:r>
    </w:p>
    <w:p>
      <w:r>
        <w:t>a exigir a emissão de título de crédito pelo contratado;</w:t>
      </w:r>
    </w:p>
    <w:p>
      <w:r>
        <w:t>a exigir o acompanhamento da mercadoria, em qualquer momento do transporte, por representante da administração;</w:t>
      </w:r>
    </w:p>
    <w:p>
      <w:r>
        <w:t>° exigir certificação do produto ou do fornecedor; dentre outras.</w:t>
      </w:r>
    </w:p>
    <w:p>
      <w:r>
        <w:t>m) reajuste</w:t>
      </w:r>
    </w:p>
    <w:p>
      <w:r>
        <w:t>169. Deverá ser obrigatoriamente indicado o índice adequado para o reajustamento dos custos decorrentes do mercado, independentemente do prazo de vigência da contratação, ou seja, ainda que seja inferior a 12 meses.</w:t>
      </w:r>
    </w:p>
    <w:p>
      <w:r>
        <w:t>170. Atenção: a data-base do reajuste deve ser vinculada à data do orçamento estimado (art. 25, § 7°, da Lei n. 14.133/2021), conforme consta da minuta padrão, que não deve ser alterada.</w:t>
      </w:r>
    </w:p>
    <w:p>
      <w:r>
        <w:t>171. Alerta-se: devem ser adotadas as orientações abaixo:</w:t>
      </w:r>
    </w:p>
    <w:p>
      <w:r>
        <w:t>° adotar o índice específico ou setorial que guarde a maior correlação possível com o segmento econômico em que estejam inseridos tais insumos diversos;</w:t>
      </w:r>
    </w:p>
    <w:p>
      <w:r>
        <w:t>° na falta de qualquer índice específico ou setorial, escolher o índice geral melhor correlacionado com a variação inflacionária dos custos da contratação ou ainda, em caráter subsidiário, verificar se existe, no mercado, algum índice geral de adoção consagrada para o objeto contratado;</w:t>
      </w:r>
    </w:p>
    <w:p>
      <w:r>
        <w:t>° na falta de qualquer índice geral com a característica do item anterior, adotar o Índice Nacional de Preços ao Consumidor Amplo - IPCA/IBGE.</w:t>
      </w:r>
    </w:p>
    <w:p>
      <w:r>
        <w:t>° qualquer que seja o índice utilizado, deverá haver a justificativa técnica de sua escolha (item 7, b, do anexo IX da IN SEGES/MP n. 5/2017 c/c item III da Conclusão DEPCONSU/PGF/AGU n. 38/2013).</w:t>
      </w:r>
    </w:p>
    <w:p>
      <w:r>
        <w:t>Recomendação:</w:t>
      </w:r>
    </w:p>
    <w:p>
      <w:r>
        <w:t>172.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indicar o índice de reajuste do contrato, ainda que a vigência seja inferior a 12 meses; b. manter a redação da minuta padrão, limitando-se a preencher as informações sobre o índice e a data do orçamento; c. definir o índice conforme as orientações acima; d. justificar a escolha do índice.</w:t>
            </w:r>
          </w:p>
        </w:tc>
      </w:tr>
    </w:tbl>
    <w:p/>
    <w:p>
      <w:r>
        <w:t>a. indicar o índice de reajuste do contrato, ainda que a vigência seja inferior a 12 meses;</w:t>
      </w:r>
    </w:p>
    <w:p>
      <w:r>
        <w:t>b. manter a redação da minuta padrão, limitando-se a preencher as informações sobre o índice e a data do orçamento;</w:t>
      </w:r>
    </w:p>
    <w:p>
      <w:r>
        <w:t>c. definir o índice conforme as orientações acima;</w:t>
      </w:r>
    </w:p>
    <w:p>
      <w:r>
        <w:t>d. justificar a escolha do índice.</w:t>
      </w:r>
    </w:p>
    <w:p>
      <w:r>
        <w:t>n) requisitos de habilitação</w:t>
      </w:r>
    </w:p>
    <w:p>
      <w:r>
        <w:t>173. Os requisitos de habilitação devem ser previstos conforme os parâmetros estabelecidos nos arts. 62 a 70 da Lei n. 14.133, de 2021 estando restritos ao rol definido pelos arts. 66 a 69, salvo se houver previsão em leis especiais.</w:t>
      </w:r>
    </w:p>
    <w:p>
      <w:r>
        <w:t>174. A minuta padrão da AGU traz os requisitos gerais. Compete à Administração analisar, de forma ponderada, se tais requisitos são pertinentes ao caso concreto, podendo excluir aqueles que sejam incompatíveis, excessivos ou que possam restringir a competitividade do certame. As exigências devem ser limitadas às condições imprescindíveis para o satisfatório cumprimento do objeto licitado. Conforme preceitua o art. 37, inc. XXI, da Constituição Federal, somente serão permitidas exigências de qualificação técnica e econômica indispensáveis à garantia do cumprimento das obrigações.</w:t>
      </w:r>
    </w:p>
    <w:p>
      <w:r>
        <w:t>175. Quanto à habilitação jurídica, é importante esclarecer que a exigência de ato de autorização para o exercício da atividade a ser contratada deve ser específica e fundamentada em lei. Nos termos da nota explicativa da minuta padrão, "A Administração deve analisar se a atividade relativa ao objeto a ser contratado exige registro ou autorização para funcionamento, em razão de previsão legal ou normativa". Se for o caso, devem ser especificados: (i) o documento a ser apresentado, (ii) o órgão competente para expedi-lo e (iii) o fundamento legal.</w:t>
      </w:r>
    </w:p>
    <w:p>
      <w:r>
        <w:t>176. A habilitação fiscal e trabalhista, via de regra, não deve ser dispensada, salvo nas hipóteses do art. 70, III, da Lei n. 14.133, de 2021.</w:t>
      </w:r>
    </w:p>
    <w:p>
      <w:r>
        <w:t>177. Atenção: não devem ser dispensadas, em nenhuma hipótese, as exigências relativas à prova de regularidade com o FGTS e perante a Seguridade Social, salvo em caso de calamidade pública de âmbito nacional (art. 195, § 3°, c/c art. 167-D, parágrafo único, ambos da Constituição Federal).</w:t>
      </w:r>
    </w:p>
    <w:p>
      <w:r>
        <w:t>178. É, ainda, obrigatória a previsão do art. 7°, inc. XXXIII, da CF, que trata da proibição de trabalho noturno, perigoso ou insalubre a menores de dezoito e de qualquer trabalho a menores de dezesseis anos, salvo na condição de aprendiz (art. 68, inciso VI, da Lei n. 14.133, de 2021).</w:t>
      </w:r>
    </w:p>
    <w:p>
      <w:r>
        <w:t>179. Em relação à qualificação técnica, as notas explicativas da minuta padrão da AGU esclarecem que o art. 67 da Lei n. 14.133, de 2021, não estabelece exigências de qualificação técnico-operacional ou técnico-profissional para aquisição de bens, apenas para obras e serviços.</w:t>
      </w:r>
    </w:p>
    <w:p>
      <w:r>
        <w:t>180. Entretanto, é juridicamente possível que a Administração formule exigências de qualificação técnica dos fornecedores no caso de compras de bens, caso fique comprovado que a medida é indispensável à garantia do cumprimento das obrigações pertinentes à execução do objeto (com fundamento no artigo 37, inciso XXI, da Constituição Federal).</w:t>
      </w:r>
    </w:p>
    <w:p>
      <w:r>
        <w:t>181. Se for esse o caso, deve ser apresentada a justificativa técnica e observadas as regras, limites e princípios estabelecidos para a qualificação técnica na contratação de serviços, devidamente adaptadas às peculiaridades das compras. Alerta-se: a qualificação técnica deve ser avaliada com razoabilidade, sem exigências desnecessárias e restritivas ao caráter competitivo.</w:t>
      </w:r>
    </w:p>
    <w:p>
      <w:r>
        <w:t>182. Em relação ao registro ou inscrição da empresa em entidade profissional competente, alerta-se que é hipótese extremamente remota a ser aplicada em aquisições e depende de lei específica que determine tal exigência, a ser comprovada nos autos.</w:t>
      </w:r>
    </w:p>
    <w:p>
      <w:r>
        <w:t>183. Quanto aos atestados de qualificação técnica, não há previsão na Lei n. 14.133, de 2021, para o caso de compras. A nota explicativa da minuta padrão da AGU orienta que somente é cabível exigir atestados quando houver alguma atividade envolvida com o fornecimento do bem que justifique esse cuidado. Como exemplo, cita a hipótese de "uma logística complexa para entrega de bens em todo território nacional e cuja falta possa acarretar sérios danos à saúde das pessoas. Também pode ser citado como exemplo a montagem e a instalação de equipamentos sofisticados, que exige conhecimento especializado. De todo modo, os atestados se referem a um serviço associado ao bem e não ao bem em si".</w:t>
      </w:r>
    </w:p>
    <w:p>
      <w:r>
        <w:t>184. Recomenda-se fortemente a leitura atenta das notas explicativas da minuta padrão caso sejam feitas exigências de qualificação técnica, garantindo-se o pleno atendimento às disposições legais.</w:t>
      </w:r>
    </w:p>
    <w:p>
      <w:r>
        <w:t>185. Em relação à habilitação econômico-financeira, destaca-se que o art. 69 da Lei n. 14.133, de 2021, restringiu aos seguintes documentos: a) balanço patrimonial, demonstração de resultado de exercício e demais demonstrações contábeis dos 2 (dois) últimos exercícios sociais; e b) certidão negativa de feitos sobre falência expedida pelo distribuidor da sede do licitante.</w:t>
      </w:r>
    </w:p>
    <w:p>
      <w:r>
        <w:t>186. A Administração pode exigir capital mínimo ou de patrimônio líquido mínimo equivalente a até 10% (dez por cento) do valor estimado da contratação, caso se trate de compras para entrega futura. Entretanto, tais exigências não podem ser cumulativas e deve ser apresentada justificativa técnica (art. 69, §4°, da Lei n. 14.133, de 2021).</w:t>
      </w:r>
    </w:p>
    <w:p>
      <w:r>
        <w:t>187. A escolha do percentual acima indicado é discricionária da Administração, porém, deve ser proporcional aos riscos que a inexecução total ou parcial do contrato poderá acarretar, considerando-se, entre outros fatores, o valor do contrato, a essencialidade do objeto, o tempo de duração do contrato. Trata-se de exigência que tem potencial para restringir a competitividade do certame, pois, o percentual está atrelado ao valor total estimado da contratação. Assim, em casos de maior vulto, pode afastar a participação de microempresas ou empresas de pequeno porte, o que deve ser considerado na justificativa.</w:t>
      </w:r>
    </w:p>
    <w:p>
      <w:r>
        <w:t>188. Alerta-se: os requisitos de qualificação técnica e econômica devem ser adequados, necessários, suficientes e pertinentes ao objeto licitado, nos termos do Acórdão TCU n. 1417/2008 - Plenário.</w:t>
      </w:r>
    </w:p>
    <w:p>
      <w:r>
        <w:t>189. Importante: caso o licitante concorra em mais de um item, deve comprovar os requisitos de habilitação cumulativamente, isto é, somando as exigências do item em que venceu às do item em que estiver concorrendo, e assim sucessivamente, sob pena de inabilitação, além da aplicação das sanções cabíveis (Fonte: PARECER n. 00003/2024/CNMLC/CGU/AGU, NUP 19973.002863/2024-28, Sapiens, seq. 13).</w:t>
      </w:r>
    </w:p>
    <w:p>
      <w:r>
        <w:t>190. Deve ser observado, ainda, o disposto no art. 70, inc. III, da Lei n. 14.133, de 2021, segundo o qual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 Registre-se que os valores são atualizados anualmente por Decreto, o que deve ser verificado pela Administração.</w:t>
      </w:r>
    </w:p>
    <w:p>
      <w:r>
        <w:t>Recomendação:</w:t>
      </w:r>
    </w:p>
    <w:p>
      <w:r>
        <w:t>191.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analisar os requisitos de habilitação constantes da minuta padrão e, se for o caso, excluir aqueles que sejam incompatíveis, excessivos ou que possam restringir a competitividade do certame; b. limitar as exigências às condições imprescindíveis para o satisfatório cumprimento do objeto licitado; c. somente exigir ato de autorização (habilitação jurídica) se houver fundamento em lei, especificando-se o documento a ser apresentado, o órgão competente para expedi-lo e o fundamento legal; d. não excluir as exigências relativas à prova de regularidade com o FGTS e perante a Seguridade Social, nem a obrigação do art. 7°, inc. XXXIII, da CF; e. a qualificação técnica somente pode ser exigida se ficar comprovado que é medida indispensável à garantia do cumprimento das obrigações de execução do contrato;</w:t>
            </w:r>
          </w:p>
        </w:tc>
      </w:tr>
      <w:tr>
        <w:tc>
          <w:tcPr>
            <w:tcW w:type="dxa" w:w="8640"/>
          </w:tcPr>
          <w:p>
            <w:r>
              <w:t>f. em caso de exigência de qualificação técnica, deve ser apresentada justificativa, que avalie a medida com razoabilidade, sem exigências desnecessárias e restritivas ao caráter competitivo; g. em caso de exigência de qualificação técnica, recomenda-se fortemente a leitura atenta das notas explicativas da minuta padrão; h. caso sejam incluídos requisitos de habilitação econômico-financeira, observar que as exigências de capital mínimo ou de patrimônio líquido mínimo não podem ser cumulativas e deve haver justificativa, inclusive para a escolha do percentual; i. nas hipóteses do art. 70, III, da Lei n. 14.133, de 2021, justificar eventual exigência dos requisitos de qualificação econômico-financeira e qualificação técnica.</w:t>
            </w:r>
          </w:p>
        </w:tc>
      </w:tr>
    </w:tbl>
    <w:p/>
    <w:p>
      <w:r>
        <w:t>a. analisar os requisitos de habilitação constantes da minuta padrão e, se for o caso, excluir aqueles que sejam incompatíveis, excessivos ou que possam restringir a competitividade do certame;</w:t>
      </w:r>
    </w:p>
    <w:p>
      <w:r>
        <w:t>b. limitar as exigências às condições imprescindíveis para o satisfatório cumprimento do objeto licitado;</w:t>
      </w:r>
    </w:p>
    <w:p>
      <w:r>
        <w:t>c. somente exigir ato de autorização (habilitação jurídica) se houver fundamento em lei, especificando-se o documento a ser apresentado, o órgão competente para expedi-lo e o fundamento legal;</w:t>
      </w:r>
    </w:p>
    <w:p>
      <w:r>
        <w:t>d. não excluir as exigências relativas à prova de regularidade com o FGTS e perante a Seguridade Social, nem a obrigação do art. 7°, inc. XXXIII, da CF;</w:t>
      </w:r>
    </w:p>
    <w:p>
      <w:r>
        <w:t>e. a qualificação técnica somente pode ser exigida se ficar comprovado que é medida indispensável à garantia do cumprimento das obrigações de execução do contrato;</w:t>
      </w:r>
    </w:p>
    <w:p>
      <w:r>
        <w:t>f. em caso de exigência de qualificação técnica, deve ser apresentada justificativa, que avalie a medida com razoabilidade, sem exigências desnecessárias e restritivas ao caráter competitivo;</w:t>
      </w:r>
    </w:p>
    <w:p>
      <w:r>
        <w:t>g. em caso de exigência de qualificação técnica, recomenda-se fortemente a leitura atenta das notas explicativas da minuta padrão;</w:t>
      </w:r>
    </w:p>
    <w:p>
      <w:r>
        <w:t>h. caso sejam incluídos requisitos de habilitação econômico-financeira, observar que as exigências de capital mínimo ou de patrimônio líquido mínimo não podem ser cumulativas e deve haver justificativa, inclusive para a escolha do percentual;</w:t>
      </w:r>
    </w:p>
    <w:p>
      <w:r>
        <w:t>i. nas hipóteses do art. 70, III, da Lei n. 14.133, de 2021, justificar eventual exigência dos requisitos de qualificação econômico-financeira e qualificação técnica.</w:t>
      </w:r>
    </w:p>
    <w:p>
      <w:r>
        <w:t>o) adequação orçamentária</w:t>
      </w:r>
    </w:p>
    <w:p>
      <w:r>
        <w:t>192. A indicação da disponibilidade orçamentária com a respectiva indicação da classificação funcional programática e da categoria econômica da despesa é uma imposição legal, conforme art. 10, inciso IX, da Lei n. 8.429, de 1992, e art. 105 da Lei n. 14.133, de 2021:</w:t>
      </w:r>
    </w:p>
    <w:p>
      <w:r>
        <w:t>Lei n. 8.429, de 1992</w:t>
      </w:r>
    </w:p>
    <w:p>
      <w:r>
        <w:t>Art. 10. Constitui ato de improbidade administrativa que causa lesão ao erário qualquer ação ou omissão dolosa, que enseje, efetiva e comprovadamente, perda patrimonial,</w:t>
      </w:r>
    </w:p>
    <w:p>
      <w:r>
        <w:t>desvio, apropriação, malbaratamento ou dilapidação dos bens ou haveres das entidades referidas no art. 1° desta Lei, e notadamente:</w:t>
      </w:r>
    </w:p>
    <w:p>
      <w:r>
        <w:t>[...]</w:t>
      </w:r>
    </w:p>
    <w:p>
      <w:r>
        <w:t>IX - ordenar ou permitir a realização de despesas não autorizadas em lei ou regulamento;</w:t>
      </w:r>
    </w:p>
    <w:p>
      <w:r>
        <w:t>Lei n. 14.133, de 2021</w:t>
      </w:r>
    </w:p>
    <w:p>
      <w:r>
        <w:t>Art. 105. A duração dos contratos regidos por esta Lei será a prevista em edital, e deverão ser observadas, no momento da contratação e a cada exercício financeiro, a disponibilidade de créditos orçamentários, bem como a previsão no plano plurianual, quando ultrapassar 1 (um) exercício financeiro. (g.n.)</w:t>
      </w:r>
    </w:p>
    <w:p>
      <w:r>
        <w:t>193. O art. 9°, inc. X, Instrução Normativa SEGES/ME n. 81, de 2022, determina que tal informação conste do Termo de Referência.</w:t>
      </w:r>
    </w:p>
    <w:p>
      <w:r>
        <w:t>194. Atenção: caso se trate de licitação destinada ao registro de preços, a indicação da disponibilidade de créditos orçamentários somente será exigida para a formalização do contrato ou do instrumento substitutivo (art. 17 do Decreto n. 11.462, de 2023).</w:t>
      </w:r>
    </w:p>
    <w:p>
      <w:r>
        <w:t>195. Alerta-se: é necessário juntar, antes da celebração do contrato administrativo, a nota de empenho suficiente para o suporte financeiro da respectiva despesa (art. 60 da Lei n. 4.320, de 1964).</w:t>
      </w:r>
    </w:p>
    <w:p>
      <w:r>
        <w:t>196 . Se as despesas que amparam a ação forem qualificáveis como atividades, sendo, portanto, despesas rotineiras e ordinárias, é dispensado o atendimento das exigências do art. 16, I e II, da Lei Complementar n. 101, de 2000 (Orientação Normativa AGU n. 52, de 2014, e Conclusão DEPCONSU/PGF/AGU n. 01/2012).</w:t>
      </w:r>
    </w:p>
    <w:p>
      <w:r>
        <w:t>Recomendação:</w:t>
      </w:r>
    </w:p>
    <w:p>
      <w:r>
        <w:t>197.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juntar a declaração do setor competente acerca da previsão dos recursos orçamentários necessários para fazer face às despesas decorrentes da futura contratação, com a indicação da respectiva rubrica, como condição essencial ao prosseguimento da licitação; b. preencher o item do TR com todas as informações adequadas e pertinentes ao exercício financeiro da contratação; c. tratando-se de SRP, a indicação da dotação orçamentária pode ser deixada para o momento de assinatura do contrato ou instrumento equivalente; d. informar a natureza da ação orçamentária para, em seguida, manifestar se se trata de situação que reclama ou não o cumprimento do art. 16, incisos I e II, da Lei Complementar n. 101, de 2000, adotando as providências necessárias.</w:t>
            </w:r>
          </w:p>
        </w:tc>
      </w:tr>
    </w:tbl>
    <w:p/>
    <w:p>
      <w:r>
        <w:t>a. juntar a declaração do setor competente acerca da previsão dos recursos orçamentários necessários para fazer face às despesas decorrentes da futura contratação, com a indicação da respectiva rubrica, como condição essencial ao prosseguimento da licitação;</w:t>
      </w:r>
    </w:p>
    <w:p>
      <w:r>
        <w:t>b. preencher o item do TR com todas as informações adequadas e pertinentes ao exercício financeiro da contratação;</w:t>
      </w:r>
    </w:p>
    <w:p>
      <w:r>
        <w:t>c. tratando-se de SRP, a indicação da dotação orçamentária pode ser deixada para o momento de assinatura do contrato ou instrumento equivalente;</w:t>
      </w:r>
    </w:p>
    <w:p>
      <w:r>
        <w:t>d. informar a natureza da ação orçamentária para, em seguida, manifestar se se trata de situação que reclama ou não o cumprimento do art. 16, incisos I e II, da Lei Complementar n. 101, de 2000, adotando as providências necessárias.</w:t>
      </w:r>
    </w:p>
    <w:p>
      <w:r>
        <w:t>9. TRATAMENTO DIFERENCIADO ÀS ME, EPP E COOP</w:t>
      </w:r>
    </w:p>
    <w:p>
      <w:r>
        <w:t>198. A Lei Complementar n. 123, de 2006, estabelece normas gerais relativas ao tratamento favorecido, diferenciado e simplificado a ser dispensado às microempresas (ME) e empresas de pequeno porte (EPP), tendo o Decreto n. 8.538, de 2015, regulamentado a matéria.</w:t>
      </w:r>
    </w:p>
    <w:p>
      <w:r>
        <w:t>199. As disposições do referido Decreto se aplicam também ao agricultor familiar, produtor rural pessoa física, microempreendedor individual - MEI e sociedades cooperativas equiparadas (COOP), assim consideradas aquelas com receita bruta equivalente à das empresas de pequeno porte (art. 34 da Lei n. 11.488, de 2007).</w:t>
      </w:r>
    </w:p>
    <w:p>
      <w:r>
        <w:t>200. Sobre os benefícios concedidos pela lei e decreto, é importante apresentar algumas considerações.</w:t>
      </w:r>
    </w:p>
    <w:p>
      <w:r>
        <w:t>9.1 Licitação exclusiva</w:t>
      </w:r>
    </w:p>
    <w:p>
      <w:r>
        <w:t>201. O art. 6° do Decreto n. 8.538, de 2015, estabelece que o processo licitatório deve ser destinado exclusivamente à participação de ME, EPP e COOP nos itens ou lotes de licitação cujo valor seja de até R$ 80.000,00 (oitenta mil reais).</w:t>
      </w:r>
    </w:p>
    <w:p>
      <w:r>
        <w:t>202. Atenção: nas contratações com prazo de vigência superior a 1 (um) ano, será considerado o valor anual do contrato para aplicação da exclusividade (art. 4°, § 3°, da Lei n. 14.133, de 2021).</w:t>
      </w:r>
    </w:p>
    <w:p>
      <w:r>
        <w:t>9.2 Cota reservada</w:t>
      </w:r>
    </w:p>
    <w:p>
      <w:r>
        <w:t>203. O art. 8° do Decreto n. 8.538, de 2015, prevê que, nas licitações com objeto divisível, quando os itens ou lotes de licitação possuírem valor estimado superior a R$80.000,00 (oitenta mil reais), deverá ser reservada cota de até vinte e cinco por cento do objeto para a contratação de ME e EPP, salvo se houver prejuízo para a contratação do conjunto ou do complexo do objeto, devidamente justificado.</w:t>
      </w:r>
    </w:p>
    <w:p>
      <w:r>
        <w:t>204. O art. 8°, § 2°, do Decreto determina que o edital deverá prever que, se não houver vencedor para a cota reservada, esta poderá ser adjudicada ao vencedor da cota principal, ou, diante de sua recusa, aos licitantes remanescentes, desde que pratiquem o preço do primeiro colocado.</w:t>
      </w:r>
    </w:p>
    <w:p>
      <w:r>
        <w:t>205. Se a mesma empresa vencer a cota reservada e a principal (do mesmo item da licitação), a contratação das cotas deverá ocorrer pelo menor preço (art. 8°, § 3°).</w:t>
      </w:r>
    </w:p>
    <w:p>
      <w:r>
        <w:t>206. Registre-se o entendimento vinculante da Advocacia-Geral da União no sentido de que as cotas reservadas de até 25% podem ultrapassar o valor de R$ 80.000,00 (oitenta mil reais), conforme Despacho n. 00098/2021/DECOR/CGU/AGU, aprovado pelo Advogado- Geral da União por meio do Despacho do Advogado-Geral da União n. 071, de 17 de março de 2021 (NUP 25000.193248/2018-73, seq. 24 a 27 do Sapiens).</w:t>
      </w:r>
    </w:p>
    <w:p>
      <w:r>
        <w:t>9.3 Afastamento da exclusividade da licitação e da cota reservada</w:t>
      </w:r>
    </w:p>
    <w:p>
      <w:r>
        <w:t>207. O tratamento diferenciado poderá ser afastado, nas hipóteses do art. 10 do Decreto n. 8.538, de 2015, mediante justificativa:</w:t>
      </w:r>
    </w:p>
    <w:p>
      <w:r>
        <w:t>Art. 10. Não se aplica o disposto nos art. 6° ao art. 8° quando:</w:t>
      </w:r>
    </w:p>
    <w:p>
      <w:r>
        <w:t>I - não houver o mínimo de três fornecedores competitivos enquadrados como microempresas ou empresas de pequeno porte sediadas local ou regionalmente e capazes de cumprir as exigências estabelecidas no instrumento convocatório;</w:t>
      </w:r>
    </w:p>
    <w:p>
      <w:r>
        <w:t>II - o tratamento diferenciado e simplificado para as microempresas e as empresas de pequeno porte não for vantajoso para a administração pública ou representar prejuízo ao conjunto ou ao complexo do objeto a ser contratado, justificadamente;</w:t>
      </w:r>
    </w:p>
    <w:p>
      <w:r>
        <w:t>III - a licitação for dispensável ou inexigível, nos termos dos arts. 24 e 25 da Lei n. 8.666, de 1993, excetuadas as dispensas tratadas pelos incisos I e II do caput do referido art. 24, nas quais a compra deverá ser feita preferencialmente por microempresas e empresas de pequeno porte, observados, no que couber, os incisos I, II e IV do caput deste artigo; ou</w:t>
      </w:r>
    </w:p>
    <w:p>
      <w:r>
        <w:t>IV - o tratamento diferenciado e simplificado não for capaz de alcançar, justificadamente, pelo menos um dos objetivos previstos no art. 1o.</w:t>
      </w:r>
    </w:p>
    <w:p>
      <w:r>
        <w:t>Parágrafo único. Para o disposto no inciso II do caput , considera-se não vantajosa a contratação quando:</w:t>
      </w:r>
    </w:p>
    <w:p>
      <w:r>
        <w:t>I - resultar em preço superior ao valor estabelecido como referência; ou</w:t>
      </w:r>
    </w:p>
    <w:p>
      <w:r>
        <w:t>II - a natureza do bem, serviço ou obra for incompatível com a aplicação dos benefícios.</w:t>
      </w:r>
    </w:p>
    <w:p>
      <w:r>
        <w:t>208. Atenção: as hipóteses do art. 10 do Decreto n. 8.538, de 2015, são taxativas e não podem ser ampliadas.</w:t>
      </w:r>
    </w:p>
    <w:p>
      <w:r>
        <w:t>Recomendação:</w:t>
      </w:r>
    </w:p>
    <w:p>
      <w:r>
        <w:t>209.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analisar a incidência do tratamento diferenciado às ME, EPP e COOP, nos temos do Decreto n. 8.538, de 2015; b. destinar o certame à participação exclusiva de ME, EPP e COOP, caso o valor da contratação não ultrapasse R$ 80.000,00; c. destinar o item ou grupo/lote, cujo valor não ultrapasse R$80.000,00, à participação exclusiva de ME, EPP e COOP; d. nos itens ou grupo/lote que ultrapasse o valor de R$80.000,00, prever cota reservada de até 25%, para participação exclusiva de ME, EPP e COOP; e. justificar eventual afastamento dos benefícios da licitação exclusiva ou cota reservada, com fundamento nas hipóteses taxativas do art. 10 do Decreto n. 8.538, de 2015.</w:t>
            </w:r>
          </w:p>
        </w:tc>
      </w:tr>
    </w:tbl>
    <w:p/>
    <w:p>
      <w:r>
        <w:t>a. analisar a incidência do tratamento diferenciado às ME, EPP e COOP, nos temos do Decreto n. 8.538, de 2015;</w:t>
      </w:r>
    </w:p>
    <w:p>
      <w:r>
        <w:t>b. destinar o certame à participação exclusiva de ME, EPP e COOP, caso o valor da contratação não ultrapasse R$ 80.000,00;</w:t>
      </w:r>
    </w:p>
    <w:p>
      <w:r>
        <w:t>c. destinar o item ou grupo/lote, cujo valor não ultrapasse R$80.000,00, à participação exclusiva de ME, EPP e COOP;</w:t>
      </w:r>
    </w:p>
    <w:p>
      <w:r>
        <w:t>d. nos itens ou grupo/lote que ultrapasse o valor de R$80.000,00, prever cota reservada de até 25%, para participação exclusiva de ME, EPP e COOP;</w:t>
      </w:r>
    </w:p>
    <w:p>
      <w:r>
        <w:t>e. justificar eventual afastamento dos benefícios da licitação exclusiva ou cota reservada, com fundamento nas hipóteses taxativas do art. 10 do Decreto n. 8.538, de 2015.</w:t>
      </w:r>
    </w:p>
    <w:p>
      <w:r>
        <w:t>210. Registre-se que há, ainda, previsão facultativa de estabelecimento, nos instrumentos convocatórios:</w:t>
      </w:r>
    </w:p>
    <w:p>
      <w:r>
        <w:t>° de exigência de subcontratação de ME e EPP nos termos do art. 7° do Decreto n. 8.538, de 2015;</w:t>
      </w:r>
    </w:p>
    <w:p>
      <w:r>
        <w:t>° de prioridade de contratação de ME e EPP sediadas local ou regionalmente, até o limite de dez por cento do melhor preço válido nos termos do art. 9o, II, do Decreto n. 8.538, de 2015.</w:t>
      </w:r>
    </w:p>
    <w:p>
      <w:r>
        <w:t>10. MINUTAS PADRONIZADAS DE EDITAL, ATA DE REGISTRO DE PREÇO E CONTRATO</w:t>
      </w:r>
    </w:p>
    <w:p>
      <w:r>
        <w:t>211. Os requisitos e elementos a serem contemplados na minuta de edital são aqueles previstos no art. 25, caput, da Lei n.</w:t>
      </w:r>
    </w:p>
    <w:p>
      <w:r>
        <w:t>14.133, de 2021, com as devidas adaptações às especificidades de cada contratação.</w:t>
      </w:r>
    </w:p>
    <w:p>
      <w:r>
        <w:t>212. Alerta-se: a utilização do presente parecer referencial pressupõe a utilização das minutas padronizadas de edital e contrato e, se for o caso, ata de registro de preços, disponibilizadas pela Advocacia-Geral da União, em sua versão mais atualizada.</w:t>
      </w:r>
    </w:p>
    <w:p>
      <w:r>
        <w:t>213. Assim, não sendo utilizada a minuta padronizada da AGU, o processo deverá ser encaminhado para análise jurídica individualizada, a cargo da Procuradoria local (art. 2° da Portaria Normativa PGF/AGU n. 73, de 24 de março de 2025).</w:t>
      </w:r>
    </w:p>
    <w:p>
      <w:r>
        <w:t>10.1 Da minuta de edital</w:t>
      </w:r>
    </w:p>
    <w:p>
      <w:r>
        <w:t>214. Sobre o conteúdo da minuta de edital, merecem destaques os pontos a seguir.</w:t>
      </w:r>
    </w:p>
    <w:p>
      <w:r>
        <w:t>a) das restrições à participação</w:t>
      </w:r>
    </w:p>
    <w:p>
      <w:r>
        <w:t>215. No tópico "Da Participação na Licitação", a Administração deve ter especial cautela no item relativo às vedações de participação, mantendo a redação da minuta padrão nas partes não editáveis e justificando eventual vedação à participação de cooperativas e consórcios.</w:t>
      </w:r>
    </w:p>
    <w:p>
      <w:r>
        <w:t>216. Alerta-se: a respeito das cooperativas, admite-se a vedação de participação apenas nas hipóteses de contratação de serviços com dedicação exclusiva de mão de obra, que não se enquadrem nas permissões do art. 10 da IN SEGES/MP n. 5, de 2017. Portanto, nas aquisições deve ser excluído o subitem da minuta padrão (redação em vermelho) que veda a participação das sociedades cooperativas, sob pena de ferir a competitividade do certame.</w:t>
      </w:r>
    </w:p>
    <w:p>
      <w:r>
        <w:t>217. Em relação aos consórcios, a vedação à participação é excepcional e deve ser justificada pela Administração, nos termos do art. 15 da Lei n. 14.133, de 2021.</w:t>
      </w:r>
    </w:p>
    <w:p>
      <w:r>
        <w:t>218. É vedado ao agente público admitir, prever, incluir ou tolerar situações que comprometam, restrinjam ou frustrem o caráter competitivo do processo licitatório, inclusive nos casos de participação de cooperativas. Não é permitido, também, estabelecer preferências ou distinções em razão da naturalidade, da sede ou do domicílio dos licitantes ou, ainda, a inclusão de regras que sejam impertinentes ou irrelevantes para o objeto específico do contrato (art. 9o, inciso I, da Lei n. 14.133, de 2021).</w:t>
      </w:r>
    </w:p>
    <w:p>
      <w:r>
        <w:t>219. O agente público também não poderá estabelecer tratamento diferenciado de natureza comercial, legal, trabalhista, previdenciária ou qualquer outra entre empresas brasileiras e estrangeiras, inclusive no que se refere a moeda, modalidade e local de pagamento, mesmo quando envolvido financiamento de agência internacional (art. 9o, inciso II, da Lei n. 14.133, de 2021).</w:t>
      </w:r>
    </w:p>
    <w:p>
      <w:r>
        <w:t>b) modo de disputa</w:t>
      </w:r>
    </w:p>
    <w:p>
      <w:r>
        <w:t>220. A minuta padrão traz todas as previsões relacionadas ao modo de disputa escolhido pela Administração, em atuação discricionária. Entretanto, é necessário observar que a utilização isolada do modo de disputa fechado é vedada quando adotado o critério de julgamento de menor preço (art. 56, § 1o, da Lei n. 14.133, de 2021).</w:t>
      </w:r>
    </w:p>
    <w:p>
      <w:r>
        <w:t>Recomendação:</w:t>
      </w:r>
    </w:p>
    <w:p>
      <w:r>
        <w:t>221.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permitir a participação de cooperativas na licitação, por se tratar de aquisição; b. justificar eventual vedação à participação de consórcios; c. não utilizar o modo de disputa fechado de forma isolada no presente caso.</w:t>
            </w:r>
          </w:p>
        </w:tc>
      </w:tr>
    </w:tbl>
    <w:p/>
    <w:p>
      <w:r>
        <w:t>a. permitir a participação de cooperativas na licitação, por se tratar de aquisição;</w:t>
      </w:r>
    </w:p>
    <w:p>
      <w:r>
        <w:t>b. justificar eventual vedação à participação de consórcios;</w:t>
      </w:r>
    </w:p>
    <w:p>
      <w:r>
        <w:t>c. não utilizar o modo de disputa fechado de forma isolada no presente caso.</w:t>
      </w:r>
    </w:p>
    <w:p>
      <w:r>
        <w:t>10.2 Da minuta de ata de registro de preços</w:t>
      </w:r>
    </w:p>
    <w:p>
      <w:r>
        <w:t>222. A minuta de Ata de Registro de Preços (ARP) deve ser utilizada sempre que a licitação for processada sob o Sistema de Registro de Preços.</w:t>
      </w:r>
    </w:p>
    <w:p>
      <w:r>
        <w:t>223. Atenção: a ata de registro de preços é documento diferente do contrato e não o substitui. Assim, sempre que adotado o SRP, a Administração deverá providenciar a minuta de ata de registro de preços e a minuta de contrato, salvo, nesse último caso, se houver substituição por instrumento equivalente, nos termos da lei.</w:t>
      </w:r>
    </w:p>
    <w:p>
      <w:r>
        <w:t>224. A minuta padrão da AGU traz todos os elementos necessários e suficientes da ARP, devendo ser respeitada integralmente. Destacam-se os seguintes pontos:</w:t>
      </w:r>
    </w:p>
    <w:p>
      <w:r>
        <w:t>a) vigência da ata</w:t>
      </w:r>
    </w:p>
    <w:p>
      <w:r>
        <w:t>225. O prazo inicial de vigência da ata de registro de preços é necessariamente de 1 (um) ano, contado do primeiro dia útil subsequente à data de sua divulgação no Portal Nacional de Contratações Públicas (PNCP), podendo ocorrer a prorrogação da vigência da ata para o período de mais de um ano, desde que comprovado o preço vantajoso (art. 84 da Lei n. 14.133, de 2021, c/c o art. 22 do Decreto n. 11.462, de 2023, e Orientação Normativa AGU n. 89, de 2024).</w:t>
      </w:r>
    </w:p>
    <w:p>
      <w:r>
        <w:t>226. Alerta-se: não é possível estabelecer prazo de vigência diferente de um ano, nem marco inicial da vigência diferente do primeiro dia útil subsequente à data de sua divulgação no PNCP, pois a lei é expressa a respeito do tema.</w:t>
      </w:r>
    </w:p>
    <w:p>
      <w:r>
        <w:t>227. Atenção: conforme tratado anteriormente neste parecer, a validade da ata de registro de preços não se confunde com vigência da contratação, uma vez que ata e contrato são institutos diversos. O contrato deriva da ata e deve ser celebrado durante sua validade, porém, tem vigência própria. A ata de registro de preços não substitui o contrato.</w:t>
      </w:r>
    </w:p>
    <w:p>
      <w:r>
        <w:t>228. É indispensável que a possibilidade de prorrogação da ata esteja expressamente prevista (art. 15, IX, do Decreto n. 11.462, de 2023).</w:t>
      </w:r>
    </w:p>
    <w:p>
      <w:r>
        <w:t>b) adesão à ata de registro de preços</w:t>
      </w:r>
    </w:p>
    <w:p>
      <w:r>
        <w:t>229. A regra geral é que a ata de registro de preços poderá ser utilizada por órgãos ou entidades não participantes, desde que observados os requisitos do art. 86, § 2o, da Lei n. 14.133, de 2021, c/c art. 31 do Decreto n. 11.462, de 2023. É o procedimento chamado de "adesão" ou "carona". Frise-se que tal procedimento não é objeto deste parecer referencial.</w:t>
      </w:r>
    </w:p>
    <w:p>
      <w:r>
        <w:t>230. Excepcionalmente, poderá ser vedada a adesão à ARP, mediante justificativa adequada. Destaca-se que a vedação da adesão pode ter como fundamento o art. 7o, I e XI, do Decreto n. 11.462, de 2023, em razão da capacidade de gerenciamento do gerenciador.</w:t>
      </w:r>
    </w:p>
    <w:p>
      <w:r>
        <w:t>231. Há expressa vedação da participação de outro órgão ou entidade na ata na hipótese do art. 4° do Decreto n. 11.462, de 2023, quando há registro de preços com indicação limitada a unidades de contratação, sem indicação do total a ser adquirido (art. 82, § 4°, da Lei n. 14.133/2021 e artigo 4°, parágrafo único, do Decreto n. 11.462, de 2023).</w:t>
      </w:r>
    </w:p>
    <w:p>
      <w:r>
        <w:t>c) renovação dos quantitativos</w:t>
      </w:r>
    </w:p>
    <w:p>
      <w:r>
        <w:t>232. No âmbito da Advocacia-Geral da União foi firmado o entendimento de que é possível a renovação dos quantitativos inicialmente registrados na ata no caso de sua prorrogação, desde que cumpridos os requisitos estabelecidos no PARECER n. 00015/2024/CPLC/SUBCONSU/PGF/AGU e no PARECER n. 00075/2024/DECOR/CGU/AGU (NUP 71000.062490/2024-61, seq. 58 e 61, respectivamente)</w:t>
      </w:r>
    </w:p>
    <w:p>
      <w:r>
        <w:t>233. Para tanto, a Administração deve analisar, na fase de planejamento da licitação, a possibilidade de renovação dos quantitativos em caso de prorrogação de vigência da Ata, bem como incluir expressa previsão no edital e na ata, tudo conforme o entendimento exposto nos pareceres acima indicados. A propósito, o tema encontra-se abordado no item 5 do Parecer Referencial n. 00005/2025/GERTEC/ELIC/PGF/AGU (NUP 00407.059564/2025-42, seq. 5, do Sapiens).</w:t>
      </w:r>
    </w:p>
    <w:p>
      <w:r>
        <w:t>Recomendação:</w:t>
      </w:r>
    </w:p>
    <w:p>
      <w:r>
        <w:t>234.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estabelecer a vigência da ata de registro de preços em 1 (um) ano, contado do primeiro dia útil subsequente à data de sua divulgação no PNCP, necessariamente; b. justificar eventual vedação à adesão de entidades não participantes à ARP; c. vedar a participação de outro órgão, caso se trate da hipótese do art. 82, § 3°, da Lei n. 14.133, de 2021; d. analisar a possibilidade de renovação dos quantitativos inicialmente registrados em caso de prorrogação da ARP, documentando nos autos; e. prever expressamente no edital e ata a possibilidade de renovação dos quantitativos, se for o caso.</w:t>
            </w:r>
          </w:p>
        </w:tc>
      </w:tr>
    </w:tbl>
    <w:p/>
    <w:p>
      <w:r>
        <w:t>a. estabelecer a vigência da ata de registro de preços em 1 (um) ano, contado do primeiro dia útil subsequente à data de sua divulgação no PNCP, necessariamente;</w:t>
      </w:r>
    </w:p>
    <w:p>
      <w:r>
        <w:t>b. justificar eventual vedação à adesão de entidades não participantes à ARP;</w:t>
      </w:r>
    </w:p>
    <w:p>
      <w:r>
        <w:t>c. vedar a participação de outro órgão, caso se trate da hipótese do art. 82, § 3°, da Lei n. 14.133, de 2021;</w:t>
      </w:r>
    </w:p>
    <w:p>
      <w:r>
        <w:t>d. analisar a possibilidade de renovação dos quantitativos inicialmente registrados em caso de prorrogação da ARP, documentando nos autos;</w:t>
      </w:r>
    </w:p>
    <w:p>
      <w:r>
        <w:t>e. prever expressamente no edital e ata a possibilidade de renovação dos quantitativos, se for o caso.</w:t>
      </w:r>
    </w:p>
    <w:p>
      <w:r>
        <w:t>10.3 Da minuta de contrato</w:t>
      </w:r>
    </w:p>
    <w:p>
      <w:r>
        <w:t>a) substituição do termo de contrato por instrumento equivalente</w:t>
      </w:r>
    </w:p>
    <w:p>
      <w:r>
        <w:t>235. É possível a substituição do termo de contrato por instrumento equivalente (carta- contrato, nota de empenho de despesa, autorização de compra ou ordem de execução de serviço) em duas hipóteses:</w:t>
      </w:r>
    </w:p>
    <w:p>
      <w:r>
        <w:t>° nos casos de compras com entrega imediata e integral dos bens adquiridos, das quais não resultem obrigações futuras, inclusive quanto à assistência técnica, independentemente de seu valor (art. 95, II, da Lei n. 14.133, de 2021); e,</w:t>
      </w:r>
    </w:p>
    <w:p>
      <w:r>
        <w:t>° sempre que o valor do contrato se encaixe no valor atualizado que autoriza a dispensa de licitação prevista no inciso II do art. 75, da Lei n. 14.133, de 202, nos termos do art. 95, I, da Lei n. 14.133, de 2021 (Orientação Normativa AGU n. 84, de 2024).</w:t>
      </w:r>
    </w:p>
    <w:p>
      <w:r>
        <w:t>236. Atenção: entende-se como entrega imediata aquela que ocorre no prazo máximo de 30 (trinta) dias da ordem de fornecimento (art. 6°, X, da Lei n. 14.133, de 2021).</w:t>
      </w:r>
    </w:p>
    <w:p>
      <w:r>
        <w:t>237. O art. 95, § 1°, da Lei n. 14.133, de 2021, determina que o instrumento substitutivo deverá conter as cláusulas elencadas no art. 92 da Lei, no que couber, de forma que preveja as condições essenciais que regerão a execução contratual, como, por exemplo, a descrição precisa do objeto, as obrigações e responsabilidades das partes, a vinculação ao edital e à proposta ofertada, os prazos de execução, forma e prazo de pagamento, sanções, entre outras.</w:t>
      </w:r>
    </w:p>
    <w:p>
      <w:r>
        <w:t>238. A minuta padronizada de Termo de Referência da AGU traz, no Anexo I, as regras aplicáveis ao instrumento substitutivo ao contrato. Assim, sempre que houver substituição do termo de contrato, tal Anexo deve ser utilizado. Deverá, ainda, ser utilizado o Anexo II do TR, que traz uma minuta de Termo de Ciência e Concordância do contratado com as regras e obrigações da contratação previstas no Termo de Referência e em seu Anexo I.</w:t>
      </w:r>
    </w:p>
    <w:p>
      <w:r>
        <w:t>239. Registre-se que, nas licitações por itens ou grupos, a Administração pode utilizar o instrumento contratual para alguns itens/grupo e instrumento substitutivo para outros, desde que apresente justificativa e que tal opção esteja clara e expressa na fase de planejamento, comprovando-se nos autos.</w:t>
      </w:r>
    </w:p>
    <w:p>
      <w:r>
        <w:t>b) vigência e extinção contratual</w:t>
      </w:r>
    </w:p>
    <w:p>
      <w:r>
        <w:t>240. Quanto à minuta de contrato, destaca-se a necessidade da adoção da redação adequada das Cláusulas de vigência e de extinção contratual, que devem estar em consonância com a natureza da contratação, se de escopo (art. 105 da Lei n. 14.133, de 2021) ou fornecimento contínuo (arts. 106 e 107 da Lei n. 14.133, de 2021), conforme tratado anteriormente neste parecer.</w:t>
      </w:r>
    </w:p>
    <w:p>
      <w:r>
        <w:t>241. Atenção: sobre a vigência dos contratos de escopo, deve ser mantida a redação da minuta padrão, que está de acordo com o art. 111 da Lei n. 14.133, de 2021.</w:t>
      </w:r>
    </w:p>
    <w:p>
      <w:r>
        <w:t>242. Alerta-se: nos contratos de escopo, caso a vigência extrapole o exercício financeiro em curso, somente será possível a contratação se o objeto contiver produto previsto nas metas do Plano Plurianual (art. 105 da Lei n. 14.133, de 2021) devendo haver a comprovação nos autos desse fato -, ou, se todo o empenho necessário à execução contratual for realizado até o dia 31 de dezembro do ano da conclusão da licitação.</w:t>
      </w:r>
    </w:p>
    <w:p>
      <w:r>
        <w:t>c) aplicação da Lei n. 13.709, de 2018 (LGPD)</w:t>
      </w:r>
    </w:p>
    <w:p>
      <w:r>
        <w:t>243. A Lei n. 13.709, de 2018, (LGPD) dispõe sobre o tratamento de dados pessoais, inclusive nos meios digitais, por pessoa natural ou por pessoa jurídica de direito público ou privado, com o objetivo de proteger os direitos fundamentais de liberdade e de privacidade e o livre desenvolvimento da personalidade da pessoa natural.</w:t>
      </w:r>
    </w:p>
    <w:p>
      <w:r>
        <w:t>244. A Administração deve observar o disposto no PARECER n.00004/2022/CNMLC/CGU/AGU, que trata da aplicação da Lei Geral de Proteção de Dados nos modelos de licitação e contratos.</w:t>
      </w:r>
    </w:p>
    <w:p>
      <w:r>
        <w:t>245. O parecer fixou o entendimento de que, nos contratos administrativos,</w:t>
      </w:r>
    </w:p>
    <w:p>
      <w:r>
        <w:t>[...] não constem os números de documentos pessoais das pessoas naturais que irão assiná-los, como ocorre normalmente com os representantes da Administração e da empresa contratada.</w:t>
      </w:r>
    </w:p>
    <w:p>
      <w:r>
        <w:t>Em vez disso, propõe-se nos instrumentos contratuais os representantes da Administração sejam identificados apenas com a matrícula funcional [...]. Com relação aos representantes da</w:t>
      </w:r>
    </w:p>
    <w:p>
      <w:r>
        <w:t>contratada também se propõe que os instrumentos contratuais os identifiquem apenas pelo nome, até porque o art. 61 da Lei n. 8.666, de 1993, e o §1° do art. 89 da Lei n. 14.133, de 1o de abril de 2021, exigem apenas esse dado.</w:t>
      </w:r>
    </w:p>
    <w:p>
      <w:r>
        <w:t>Recomendação:</w:t>
      </w:r>
    </w:p>
    <w:p>
      <w:r>
        <w:t>246.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definir e justificar a eventual opção pela substituição do contrato por instrumento equivalente; b. certificar que se trata de hipótese permitida de substituição do contrato; c. manter os Anexos I e II do TR, caso opte pela substituição do instrumento contratual; d. atentar para a redação adequada das cláusulas de vigência e extinção contratual, de acordo com a natureza da contratação; e. manter a redação da minuta padrão em relação à vigência dos contratos de escopo;</w:t>
            </w:r>
          </w:p>
        </w:tc>
      </w:tr>
      <w:tr>
        <w:tc>
          <w:tcPr>
            <w:tcW w:type="dxa" w:w="8640"/>
          </w:tcPr>
          <w:p>
            <w:r>
              <w:t>f. comprovar que o objeto está previsto nas metas do Plano Plurianual ou que todo o empenho necessário à execução contratual será realizado até o dia 31 de dezembro do ano da conclusão da licitação, nos casos em que a vigência do contrato de escopo extrapole o exercício financeiro; g. observar o entendimento quanto à aplicação da LGPD, acima exposto.</w:t>
            </w:r>
          </w:p>
        </w:tc>
      </w:tr>
    </w:tbl>
    <w:p/>
    <w:p>
      <w:r>
        <w:t>a. definir e justificar a eventual opção pela substituição do contrato por instrumento equivalente;</w:t>
      </w:r>
    </w:p>
    <w:p>
      <w:r>
        <w:t>b. certificar que se trata de hipótese permitida de substituição do contrato;</w:t>
      </w:r>
    </w:p>
    <w:p>
      <w:r>
        <w:t>c. manter os Anexos I e II do TR, caso opte pela substituição do instrumento contratual;</w:t>
      </w:r>
    </w:p>
    <w:p>
      <w:r>
        <w:t>d. atentar para a redação adequada das cláusulas de vigência e extinção contratual, de acordo com a natureza da contratação;</w:t>
      </w:r>
    </w:p>
    <w:p>
      <w:r>
        <w:t>e. manter a redação da minuta padrão em relação à vigência dos contratos de escopo;</w:t>
      </w:r>
    </w:p>
    <w:p>
      <w:r>
        <w:t>f. comprovar que o objeto está previsto nas metas do Plano Plurianual ou que todo o empenho necessário à execução contratual será realizado até o dia 31 de dezembro do ano da conclusão da licitação, nos casos em que a vigência do contrato de escopo extrapole o exercício financeiro;</w:t>
      </w:r>
    </w:p>
    <w:p>
      <w:r>
        <w:t>g. observar o entendimento quanto à aplicação da LGPD, acima exposto.</w:t>
      </w:r>
    </w:p>
    <w:p>
      <w:r>
        <w:t>11. DA PUBLICAÇÃO DO EDITAL E DA LEI DE ACESSO À INFORMAÇÃO</w:t>
      </w:r>
    </w:p>
    <w:p>
      <w:r>
        <w:t>247. É obrigatória a divulgação e a manutenção do inteiro teor do edital de licitação, seus anexos e do termo de contrato no Portal Nacional de Contratações Públicas, a publicação de extrato do edital no Diário Oficial da União, bem como em jornal diário de grande circulação (art. 54, caput e § 1°, c/c art. 94 da Lei n. 14.133/2021).</w:t>
      </w:r>
    </w:p>
    <w:p>
      <w:r>
        <w:t>248. Deve ser observado o prazo mínimo de 8 (oito) dias úteis, contados a partir da data de divulgação do edital de licitação, para a apresentação das propostas e lances, quando adotados os critérios de julgamento de menor preço ou de maior desconto (art. 55, I, alínea "a", Lei n. 14.133/2021).</w:t>
      </w:r>
    </w:p>
    <w:p>
      <w:r>
        <w:t>249. Após a homologação do processo licitatório, é obrigatória a disponibilização no Portal Nacional de Contratações Públicas (PNCP) dos documentos elaborados na fase preparatória que porventura não tenham integrado o edital e seus anexos (art. 54, § 3°, da Lei n. 14.133/2021).</w:t>
      </w:r>
    </w:p>
    <w:p>
      <w:r>
        <w:t>250. Deverão ser disponibilizados os seguintes documentos e informações no sítio oficial do órgão licitante na internet (art. 8°, § 2°, da Lei n. 12.527, de 2011, c/c art. 7°, § 3°, inc. V, do Decreto n. 7.724, de 2012,):</w:t>
      </w:r>
    </w:p>
    <w:p>
      <w:r>
        <w:t>a) cópia integral do edital com seus anexos;</w:t>
      </w:r>
    </w:p>
    <w:p>
      <w:r>
        <w:t>b) resultado da licitação;</w:t>
      </w:r>
    </w:p>
    <w:p>
      <w:r>
        <w:t>c) contratos firmados e notas de empenho emitidas.</w:t>
      </w:r>
    </w:p>
    <w:p>
      <w:r>
        <w:t>12. ATESTADO DE ADEQUAÇÃO DO PROCESSO AO PARECER REFERENCIAL</w:t>
      </w:r>
    </w:p>
    <w:p>
      <w:r>
        <w:t>251. Deverá o órgão assessorado informar, sempre que solicitado, a relação dos processos, com respectivo NUP, em que a presente manifestação jurídica referencial tenha sido adotada.</w:t>
      </w:r>
    </w:p>
    <w:p>
      <w:r>
        <w:t>252. É necessário, ainda, o preenchimento e juntada aos autos da seguinte declaração:</w:t>
      </w:r>
    </w:p>
    <w:p>
      <w:r>
        <w:t>ATESTADO DE CONFORMIDADE DO PROCESSO COM O PARECER REFERENCIAL</w:t>
      </w:r>
    </w:p>
    <w:p>
      <w:r>
        <w:t>Processo:</w:t>
      </w:r>
    </w:p>
    <w:p>
      <w:r>
        <w:t>Referência/objeto: aquisição de XXXX, por meio de pregão eletrônico, com critério de julgamento pelo menor preço. Valor estimado (Valor de referência): R$</w:t>
      </w:r>
    </w:p>
    <w:p>
      <w:r>
        <w:t>Atesto que o caso concreto dos presentes autos adequa-se à hipótese analisada pelo PARECER REFERENCIAL n. 00006/2025/GERTEC/ELIC/PGF/AGU, cujas recomendações foram integralmente atendidas, de acordo com o que está consignado na lista de verificação juntada aos autos.</w:t>
      </w:r>
    </w:p>
    <w:p>
      <w:r>
        <w:t>Fica, assim, dispensada a remessa dos autos para exame individualizado pela Procuradoria Federal Especializada junto à autarquia/fundação, nos termos da Portaria PGF/AGU n. 262, de 05 de maio de 2017, e Orientação Normativa n. 55 da Advocacia Geral da União.</w:t>
      </w:r>
    </w:p>
    <w:p>
      <w:r>
        <w:t>......................................de.................................de 20.........</w:t>
      </w:r>
    </w:p>
    <w:p>
      <w:r>
        <w:t>__________________________________</w:t>
      </w:r>
    </w:p>
    <w:p>
      <w:r>
        <w:t>Identificação e assinatura</w:t>
      </w:r>
    </w:p>
    <w:p>
      <w:r>
        <w:t>III. CONCLUSÃO</w:t>
      </w:r>
    </w:p>
    <w:p>
      <w:r>
        <w:t>253. Em face do exposto, nos limites da análise jurídica, o parecer é pela regularidade jurídica do processo licitatório, desde que sejam preenchidos todos os requisitos e recomendações constantes deste Parecer Referencial, ressalvado o juízo de mérito da Administração e os aspectos técnicos, econômicos e financeiros, que escapam à análise deste órgão consultivo (art. 53 da Lei n. 14.133, de 2021).</w:t>
      </w:r>
    </w:p>
    <w:p>
      <w:r>
        <w:t>254.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em cada processo individualmente, que a situação concreta se amolda aos termos desta manifestação, conforme modelo presente no item 252.</w:t>
      </w:r>
    </w:p>
    <w:p>
      <w:r>
        <w:t>255. Caso haja dúvida jurídica, o processo deve ser remetido ao órgão de consultoria para exame individualizado, com a formulação dos questionamentos específicos, nos moldes da Portaria PGF n. 526, de 2013.</w:t>
      </w:r>
    </w:p>
    <w:p>
      <w:r>
        <w:t>256. As orientações emanadas dos pareceres jurídicos, ainda que apenas opinativos, devem ser seguidas ou, caso contrário, justificadas no corpo do processo.</w:t>
      </w:r>
    </w:p>
    <w:p>
      <w:r>
        <w:t>257. Por fim, não há determinação legal para fiscalização posterior de cumprimento de recomendações feitas (BPC n. 5).</w:t>
      </w:r>
    </w:p>
    <w:p>
      <w:r>
        <w:t>258. É o parecer, segundo o entendimento consolidado da ELIC, elaborado por meio do Sistema AGU de Inteligência Jurídica (Sapiens), assinado digitalmente, consoante os objetivos de eficiência, padronização e uniformidade na atividade submetida à sua consultoria jurídica (art. 1°, incisos I e II, e art. 3°, inciso II, da Portaria Normativa PGF/AGU n. 73, de 2025).</w:t>
      </w:r>
    </w:p>
    <w:p>
      <w:r>
        <w:t>Brasília, na data da assinatura.</w:t>
      </w:r>
    </w:p>
    <w:p>
      <w:pPr>
        <w:pStyle w:val="Heading2"/>
      </w:pPr>
      <w:r>
        <w:t>PARECER DE ORIENTAÇÃO N° 8/2026/SUSEP</w:t>
      </w:r>
    </w:p>
    <w:p>
      <w:pPr>
        <w:pStyle w:val="ListBullet"/>
      </w:pPr>
      <w:r>
        <w:t>Ementa: Direito Administrativo. Licitações e Contratos. Pregão Eletrônico. Sistema de Registro de Preços. Aquisição de gêneros alimentícios e produtos de limpeza. Critério de julgamento pelo menor preço. Recomendação para adoção do presente parecer como Parecer Referencial, na forma da Orientação Normativa AGU n.º 55, de 23 de maio de 2014, e Portaria PGF n. 262, de 5 de maio de 2017, nos casos de ausência de dúvidas jurídicas.</w:t>
      </w:r>
    </w:p>
    <w:p>
      <w:r>
        <w:t>Categoria: Ministério da Fazenda/Superintendência de Seguros Privados</w:t>
      </w:r>
    </w:p>
    <w:p>
      <w:r>
        <w:t>Página: 70</w:t>
      </w:r>
    </w:p>
    <w:p/>
    <w:p>
      <w:r>
        <w:t>PARECER DE ORIENTAÇÃO N° 8/2026/SUSEP</w:t>
      </w:r>
    </w:p>
    <w:p>
      <w:r>
        <w:t>Direito Administrativo. Licitações e Contratos. Pregão Eletrônico. Sistema de Registro de Preços. Aquisição de gêneros alimentícios e produtos de limpeza. Critério de julgamento pelo menor preço. Recomendação para adoção do presente parecer como Parecer Referencial, na forma da Orientação Normativa AGU n.º 55, de 23 de maio de 2014, e Portaria PGF n. 262, de 5 de maio de 2017, nos casos de ausência de dúvidas jurídicas.</w:t>
      </w:r>
    </w:p>
    <w:p>
      <w:r>
        <w:t>O Conselho Diretor da Superintendência de Seguros Privados - Susep, em reunião extraordinária eletrônica realizada em 10 de dezembro de 2025, resolveu adotar o PARECER REFERENCIAL n. 00008/2025/GERTEC/ELIC/PGF/AGU. em anexo, como Parecer de Orientação para utilização pela Susep no âmbito dos contratos e licitações.</w:t>
      </w:r>
    </w:p>
    <w:p>
      <w:r>
        <w:t>ALESSANDRO SERAFIN OCTAVIANI LUIS</w:t>
      </w:r>
    </w:p>
    <w:p>
      <w:r>
        <w:t>ANEXO</w:t>
      </w:r>
    </w:p>
    <w:p>
      <w:r>
        <w:t>PARECER REFERENCIAL N°. 00008/2025/GERTEC/ELIC/PGF/AGU</w:t>
      </w:r>
    </w:p>
    <w:p>
      <w:r>
        <w:t>NUP: 00407.059564/2025-42</w:t>
      </w:r>
    </w:p>
    <w:p>
      <w:r>
        <w:t>INTERESSADOS: EQUIPE DE LICITAÇÃO E CONTRATO - ELIC ASSUNTO: PARECER REFERENCIAL</w:t>
      </w:r>
    </w:p>
    <w:p>
      <w:r>
        <w:t>EMENTA: Direito Administrativo. Licitações e Contratos. Pregão Eletrônico. Sistema de Registro de Preços. Aquisição de gêneros alimentícios e produtos de limpeza . Critério de julgamento pelo menor preço. Recomendação para adoção do presente parecer como Parecer Referencial, na forma da Orientação Normativa AGU n.º 55, de 23 de maio de 2014, e Portaria PGF n. 262, de 5 de maio de 2017, nos casos de ausência de dúvidas jurídicas.</w:t>
      </w:r>
    </w:p>
    <w:p>
      <w:r>
        <w:t>I. Esta Manifestação Jurídica Referencial se aplica aos procedimentos licitatórios para aquisição de gêneros alimentícios e produtos de limpeza, na modalidade pregão eletrônico, processados ou não pelo Sistema de Registro de Preços, com critério de julgamento pelo menor preço e valor estimado da contratação igual ou inferior a R$ 1.000.000,00 (um milhão de reais).</w:t>
      </w:r>
    </w:p>
    <w:p>
      <w:r>
        <w:t>II. Esta Manifestação Jurídica Referencial não se aplica aos procedimentos licitatórios destinados à aquisição ou fornecimento de:</w:t>
      </w:r>
    </w:p>
    <w:p>
      <w:r>
        <w:t>a) refeições prontas;</w:t>
      </w:r>
    </w:p>
    <w:p>
      <w:r>
        <w:t>b) gás liquefeito de petróleo, ainda que em conjunto com gêneros alimentícios;</w:t>
      </w:r>
    </w:p>
    <w:p>
      <w:r>
        <w:t>c) ração animal;</w:t>
      </w:r>
    </w:p>
    <w:p>
      <w:r>
        <w:t>d) sementes;</w:t>
      </w:r>
    </w:p>
    <w:p>
      <w:r>
        <w:t>e) terapia enteral nutricional.</w:t>
      </w:r>
    </w:p>
    <w:p>
      <w:r>
        <w:t>III. Esta Manifestação Jurídica Referencial não se aplica, ainda, ao procedimento de "chamada pública", com dispensa de licitação, para aquisição de gêneros alimentícios para o atendimento de programas específicos.</w:t>
      </w:r>
    </w:p>
    <w:p>
      <w:r>
        <w:t>I. RELATORIO</w:t>
      </w:r>
    </w:p>
    <w:p>
      <w:r>
        <w:t>1. OBJETO DO PARECER REFERENCIAL</w:t>
      </w:r>
    </w:p>
    <w:p>
      <w:r>
        <w:t>1. O presente Parecer Referencial se aplica aos procedimentos licitatórios, na modalidade pregão eletrônico, processados ou não pelo Sistema de Registro de Preços, com critério de julgamento pelo menor preço e valor estimado da contratação igual ou inferior a R$ 1.000.000,00 (um milhão de reais), que tenham como objeto, em conjunto ou separado, a aquisição de:</w:t>
      </w:r>
    </w:p>
    <w:tbl>
      <w:tblPr>
        <w:tblW w:type="auto" w:w="0"/>
        <w:tblLook w:firstColumn="1" w:firstRow="1" w:lastColumn="0" w:lastRow="0" w:noHBand="0" w:noVBand="1" w:val="04A0"/>
      </w:tblPr>
      <w:tblGrid>
        <w:gridCol w:w="8640"/>
      </w:tblGrid>
      <w:tr>
        <w:tc>
          <w:tcPr>
            <w:tcW w:type="dxa" w:w="8640"/>
          </w:tcPr>
          <w:p/>
        </w:tc>
      </w:tr>
      <w:tr>
        <w:tc>
          <w:tcPr>
            <w:tcW w:type="dxa" w:w="8640"/>
          </w:tcPr>
          <w:p>
            <w:r>
              <w:t>a. gêneros alimentícios; b. bebidas; c. produtos de limpeza.</w:t>
            </w:r>
          </w:p>
        </w:tc>
      </w:tr>
    </w:tbl>
    <w:p/>
    <w:p>
      <w:r>
        <w:t>a. gêneros alimentícios;</w:t>
      </w:r>
    </w:p>
    <w:p>
      <w:r>
        <w:t>b. bebidas;</w:t>
      </w:r>
    </w:p>
    <w:p>
      <w:r>
        <w:t>c. produtos de limpeza.</w:t>
      </w:r>
    </w:p>
    <w:p>
      <w:r>
        <w:t>2. Esta manifestação não se aplica aos procedimentos licitatórios destinados à:</w:t>
      </w:r>
    </w:p>
    <w:tbl>
      <w:tblPr>
        <w:tblW w:type="auto" w:w="0"/>
        <w:tblLook w:firstColumn="1" w:firstRow="1" w:lastColumn="0" w:lastRow="0" w:noHBand="0" w:noVBand="1" w:val="04A0"/>
      </w:tblPr>
      <w:tblGrid>
        <w:gridCol w:w="8640"/>
      </w:tblGrid>
      <w:tr>
        <w:tc>
          <w:tcPr>
            <w:tcW w:type="dxa" w:w="8640"/>
          </w:tcPr>
          <w:p/>
        </w:tc>
      </w:tr>
      <w:tr>
        <w:tc>
          <w:tcPr>
            <w:tcW w:type="dxa" w:w="8640"/>
          </w:tcPr>
          <w:p>
            <w:r>
              <w:t>a. refeições prontas; b. terapia enteral nutricional; c. gás liquefeito de petróleo (GLP), ainda que em conjunto com gêneros alimentícios; d. ração animal;</w:t>
            </w:r>
          </w:p>
        </w:tc>
      </w:tr>
      <w:tr>
        <w:tc>
          <w:tcPr>
            <w:tcW w:type="dxa" w:w="8640"/>
          </w:tcPr>
          <w:p>
            <w:r>
              <w:t>e. sementes; f. "chamada pública", com dispensa de licitação, para aquisição de gêneros alimentícios para o atendimento de programas específicos.</w:t>
            </w:r>
          </w:p>
        </w:tc>
      </w:tr>
    </w:tbl>
    <w:p/>
    <w:p>
      <w:r>
        <w:t>a. refeições prontas;</w:t>
      </w:r>
    </w:p>
    <w:p>
      <w:r>
        <w:t>b. terapia enteral nutricional;</w:t>
      </w:r>
    </w:p>
    <w:p>
      <w:r>
        <w:t>c. gás liquefeito de petróleo (GLP), ainda que em conjunto com gêneros alimentícios;</w:t>
      </w:r>
    </w:p>
    <w:p>
      <w:r>
        <w:t>d. ração animal;</w:t>
      </w:r>
    </w:p>
    <w:p>
      <w:r>
        <w:t>e. sementes;</w:t>
      </w:r>
    </w:p>
    <w:p>
      <w:r>
        <w:t>f. "chamada pública", com dispensa de licitação, para aquisição de gêneros alimentícios para o atendimento de programas específicos.</w:t>
      </w:r>
    </w:p>
    <w:p>
      <w:r>
        <w:t>3. Registre-se que o fornecimento de refeições prontas não é objeto do presente parecer, pois demanda análise específica, com complexidade superior à aquisição. Esse tipo de objeto pode ser enquadrado como prestação de serviços, pois exige uma atuação diferenciada do fornecedor, que deve customizar o cardápio às necessidades da Administração, há regras específicas de entrega, sendo comum exigir-se responsável técnico.</w:t>
      </w:r>
    </w:p>
    <w:p>
      <w:r>
        <w:t>4. A aquisição de Terapia Enteral Nutricional também não está no escopo deste parecer, por se tratar de um alimento para fins especiais, com definição no art. 4° da RDC n. 21/2015 e sua produção e comercialização está sujeita a regras específicas da ANVISA.</w:t>
      </w:r>
    </w:p>
    <w:p>
      <w:r>
        <w:t>5. A aquisição de GLP é objeto de regras específicas da ANP, que também não foram tratadas nesta manifestação referencial. Assim, caso o ente assessorado reúna, no mesmo procedimento licitatório, aquisição de alimentos e gás GLP, não poderá valer-se deste parecer. Neste caso, recomenda-se que o gestor avalie a contratação em separado, para viabilizar o uso desta manifestação jurídica referencial corretamente.</w:t>
      </w:r>
    </w:p>
    <w:p>
      <w:r>
        <w:t>6. Atenção: a aquisição de gêneros alimentícios para o atendimento do Programa Nacional de Alimentação Escolar (PNAE) e Programa de Aquisição de Alimentos (PAA), por meio do procedimento "chamada pública", com dispensa de licitação, está fora da aplicação deste parecer referencial. Isso porque deve observar a legislação, as orientações e os modelos padronizados de edital de chamada pública, de contrato e demais anexos específicos, nos termos da Lei n. 11.326, de 2006, ou da Lei n. 11.947, de 2009, conforme o caso. Por se tratar de legislação específica pertinente à atividade finalística do órgão, o exame extrapola a competência da ELIC, ficando a cargo da PF-local (art. 2°, da Portaria Normativa PGF/AGU n. 73/2025 e Orientação Jurídica Interna de Competência ELIC/SUBCONSU/PGF/AGU n. 01, de 2025). Assim, o presente parecer referencial não pode ser usado nessa situação.</w:t>
      </w:r>
    </w:p>
    <w:p>
      <w:r>
        <w:t>7. O ente assessorado deverá atestar, de forma expressa, que o caso concreto se enquadra nas hipóteses deste parecer, nos termos do art. 3°, § 2°, da Portaria PGF/AGU n. 262, de 2017. Além disso, devem ser utilizados os modelos de minutas de termo de referência, edital, contrato, ata de registro de preços e lista de verificação atualizados e disponibilizados pela AGU, em seu sítio eletrônico.</w:t>
      </w:r>
    </w:p>
    <w:p>
      <w:r>
        <w:t>8. A Administração poderá, a qualquer tempo, provocar a atuação do órgão de consultoria nas dúvidas jurídicas específicas que surgirem nos processos desta espécie, bem como para atualização do presente parecer.</w:t>
      </w:r>
    </w:p>
    <w:p>
      <w:r>
        <w:t>9 . Recomenda-se, desde já, elaborar o edital por meio do sistema "Gera AGU", acessível em https://cgu.agu.gov.br/edital/. Trata-se de ferramenta disponibilizada pela AGU para criação de editais de pregão e concorrência, conforme os modelos padronizados, com possibilidade de adaptar ao caso concreto. A utilização dessa ferramenta garante celeridade, padronização, redução de falhas e adequação às normas vigentes.</w:t>
      </w:r>
    </w:p>
    <w:p>
      <w:r>
        <w:t>10. Recomenda-se, ainda, que o planejamento da contratação seja realizado em conformidade com as diretrizes constantes do Instrumento de Padronização dos Procedimentos de Contratação (IPP), que se encontra disponível em: https://www.aov.br/aau/pt-br/comunicacao/noticias/instrumento-de-padronizacao-dos- procedimentos.pdf. Além disso, devem ser juntadas aos autos as declarações contidas no referido documento.</w:t>
      </w:r>
    </w:p>
    <w:p>
      <w:r>
        <w:t>Recomendação:</w:t>
      </w:r>
    </w:p>
    <w:p>
      <w:r>
        <w:t>11. O ente assessorado deverá atestar, de forma expressa:</w:t>
      </w:r>
    </w:p>
    <w:tbl>
      <w:tblPr>
        <w:tblW w:type="auto" w:w="0"/>
        <w:tblLook w:firstColumn="1" w:firstRow="1" w:lastColumn="0" w:lastRow="0" w:noHBand="0" w:noVBand="1" w:val="04A0"/>
      </w:tblPr>
      <w:tblGrid>
        <w:gridCol w:w="8640"/>
      </w:tblGrid>
      <w:tr>
        <w:tc>
          <w:tcPr>
            <w:tcW w:type="dxa" w:w="8640"/>
          </w:tcPr>
          <w:p/>
        </w:tc>
      </w:tr>
      <w:tr>
        <w:tc>
          <w:tcPr>
            <w:tcW w:type="dxa" w:w="8640"/>
          </w:tcPr>
          <w:p>
            <w:r>
              <w:t>1. que o caso concreto se enquadra na hipótese deste parecer, nos termos do art. 3°, § 2°, da Portaria PGF/AGU n. 262, de 2017; 2. o atendimento às recomendações deste parecer, nos termos do modelo de atestado de adequação que consta ao final deste parecer; 3. a utilização dos modelos de termo de referência, edital, contrato, ata de registro de preços e lista de verificação atualizados, disponibilizados pela Advocacia-Geral da União (AGU), em seu sítio eletrônico; 4. qual modelo foi utilizado;</w:t>
            </w:r>
          </w:p>
        </w:tc>
      </w:tr>
      <w:tr>
        <w:tc>
          <w:tcPr>
            <w:tcW w:type="dxa" w:w="8640"/>
          </w:tcPr>
          <w:p>
            <w:r>
              <w:t>5. as modificações, exclusões, inclusões ou adaptações eventualmente efetuadas, acompanhadas das respectivas justificativas; 6. observar o IPP e juntar as respectivas declarações.</w:t>
            </w:r>
          </w:p>
        </w:tc>
      </w:tr>
    </w:tbl>
    <w:p/>
    <w:p>
      <w:r>
        <w:t>1. que o caso concreto se enquadra na hipótese deste parecer, nos termos do art. 3°, § 2°, da Portaria PGF/AGU n. 262, de 2017;</w:t>
      </w:r>
    </w:p>
    <w:p>
      <w:r>
        <w:t>2. o atendimento às recomendações deste parecer, nos termos do modelo de atestado de adequação que consta ao final deste parecer;</w:t>
      </w:r>
    </w:p>
    <w:p>
      <w:r>
        <w:t>3. a utilização dos modelos de termo de referência, edital, contrato, ata de registro de preços e lista de verificação atualizados, disponibilizados pela Advocacia-Geral da União (AGU), em seu sítio eletrônico;</w:t>
      </w:r>
    </w:p>
    <w:p>
      <w:r>
        <w:t>4. qual modelo foi utilizado;</w:t>
      </w:r>
    </w:p>
    <w:p>
      <w:r>
        <w:t>5. as modificações, exclusões, inclusões ou adaptações eventualmente efetuadas, acompanhadas das respectivas justificativas;</w:t>
      </w:r>
    </w:p>
    <w:p>
      <w:r>
        <w:t>6. observar o IPP e juntar as respectivas declarações.</w:t>
      </w:r>
    </w:p>
    <w:p>
      <w:r>
        <w:t>2. CABIMENTO DA MANIFESTAÇÃO JURÍDICA REFERENCIAL</w:t>
      </w:r>
    </w:p>
    <w:p>
      <w:r>
        <w:t>12. A Orientação Normativa AGU n. 55, de 2014, autoriza a adoção de manifestação jurídica referencial, que dispensa a análise individualizada de matérias que envolvam questões jurídicas idênticas e recorrentes, nos seguintes termos:</w:t>
      </w:r>
    </w:p>
    <w:p>
      <w: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13. Trata-se de medida adequada para orientar a Administração, sendo capaz de conferir segurança jurídica à sua atuação, sem a necessidade de análise individualizada desses processos pelo órgão jurídico, salvo se houver dúvida jurídica.</w:t>
      </w:r>
    </w:p>
    <w:p>
      <w:r>
        <w:t>14. A manifestação jurídica referencial é importante ferramenta para otimizar e racionalizar o trabalho, viabilizando maior dedicação às questões complexas, prioritárias, estratégicas e especializadas, que demandam uma atuação qualificada.</w:t>
      </w:r>
    </w:p>
    <w:p>
      <w:r>
        <w:t>15. Para a elaboração de manifestação jurídica referencial, devem ser observados os requisitos da Portaria PGF n. 262, de 2017, editada para disciplinar a questão: i) o volume de processos em matérias idênticas e recorrentes que acarrete sobrecarga de trabalho devidamente comprovada e venha a impactar, justificadamente, a atuação do órgão consultivo ou a celeridade dos serviços administrativos e, ii) a atividade jurídica exercida deve se restringir à verificação do atendimento das exigências legais a partir da simples conferência de documentos.</w:t>
      </w:r>
    </w:p>
    <w:p>
      <w:r>
        <w:t>16. Considerando que a análise dos editais de pregão eletrônico para aquisições, com valor igual ou inferior a R$ 1.000.000,00 (um milhão de reais): (i) representa significativo volume de processos na equipe; (ii) há minutas padrão atualizadas periodicamente pela AGU, com notas explicativas das questões jurídicas relevantes; (iii) a análise jurídica do edital e demais artefatos é mais simples do que os demais procedimentos licitatórios; e (iv) há possibilidade individualizada de consulta facultativa caso exista dúvida jurídica específica, considera-se que há enquadramento nas hipóteses autorizadas pela Orientação Normativa AGU n. 55, de 2014, e pela Portaria PGF n. 262, de 2017.</w:t>
      </w:r>
    </w:p>
    <w:p>
      <w:r>
        <w:t>3. LIMITES DA ANÁLISE JURÍDICA</w:t>
      </w:r>
    </w:p>
    <w:p>
      <w:r>
        <w:t>17. Esta manifestação jurídica tem o objetivo de contribuir com o controle prévio da legalidade, conforme previsto no art. 53 da Lei n. 14.133, de 2021. Questões técnicas, como o detalhamento do objeto da contratação, suas características, requisitos e especificações, são de atribuição da Administração (art. 53 da Lei n. 14.133, de 2021, e Enunciado BPC n. 7 do Manual de Boas Práticas Consultivas da Advocacia-Geral da União).</w:t>
      </w:r>
    </w:p>
    <w:p>
      <w:r>
        <w:t>18. Exclui-se da competência da ELIC o exame de legislação específica relacionada à atividade-fim do ente assessorado que seja aplicável ao caso concreto, nos termos do art. 2° da Portaria Normativa PGF/AGU n. 73, de 2025. Tal análise deve ser feita pelo órgão de assessoramento jurídico local.</w:t>
      </w:r>
    </w:p>
    <w:p>
      <w:r>
        <w:t>19. A presente análise pressupõe a adoção dos modelos da AGU e o uso do Instrumento de Padronização dos Procedimentos de Contratação (IPP).</w:t>
      </w:r>
    </w:p>
    <w:p>
      <w:r>
        <w:t>20. Não há determinação legal de se fiscalizar o cumprimento das recomendações feitas neste parecer, conforme Boa Prática Consultiva n. 5. Caso a autoridade administrativa deixe de acatá-las, assume, inteiramente, a responsabilidade por sua conduta.</w:t>
      </w:r>
    </w:p>
    <w:p>
      <w:r>
        <w:t>II. DA FUNDAMENTAÇÃO</w:t>
      </w:r>
    </w:p>
    <w:p>
      <w:r>
        <w:t>4. CONTRATAÇÃO ESTIMADA DE BAIXO VALOR</w:t>
      </w:r>
    </w:p>
    <w:p>
      <w:r>
        <w:t>21. Caso o valor estimado da licitação se encontre dentro dos limites do art. 75, II, da Lei n. 14.133, de 2021, está autorizada, em tese, a dispensa de licitação.</w:t>
      </w:r>
    </w:p>
    <w:p>
      <w:r>
        <w:t>22. Nesse caso, recomenda-se que a Administração avalie a possibilidade e a vantajosidade de contratação direta do objeto, desde que atendidos os respectivos requisitos. Deve ser considerado, ainda, o custo-benefício e o tempo do processo administrativo na dispensa de licitação e no pregão, em atendimento aos princípios constitucionais da eficiência e da economicidade.</w:t>
      </w:r>
    </w:p>
    <w:p>
      <w:r>
        <w:t>23. O Portal de Compras do Governo Federal tem orientação no mesmo sentido, que pode ser acessada em https://www.gov.br/compras/pt-br/agente-publico/orientacoes-e- procedimentos/40-recomendacao-sobre-a-priorizacao-do-uso-da-dispensa-de-licitacao-na-sua- forma-eletronica-atualizada.</w:t>
      </w:r>
    </w:p>
    <w:p>
      <w:r>
        <w:t>24. No momento de elaboração do presente parecer referencial, o limite para a contratação de baixo valor encontra-se atualizado pelo Decreto n. 12.343, de 2024: (i) para compras e serviços em geral (excetuado os de engenharia) é de R$ 62.725,59.</w:t>
      </w:r>
    </w:p>
    <w:p>
      <w:r>
        <w:t>25. Registre-se que a Orientação Normativa da Advocacia-Geral da União n. 69/2021 dispõe sobre a não obrigatoriedade de análise jurídica em dispensas e inexigibilidades de pequeno valor:</w:t>
      </w:r>
    </w:p>
    <w:p>
      <w:r>
        <w:t>26. Não é obrigatória manifestação jurídica nas contratações diretas de pequeno valor com fundamento no art. 75, I ou II, e § 3° da Lei n. 14.133, de 1° de abril de 2021, salvo se houver celebração de contrato administrativo e este não for padronizado pelo órgão de assessoramento jurídico, ou nas hipóteses em que o administrador tenha suscitado dúvida a respeito da legalidade da dispensa de licitação. Aplica-se o mesmo entendimento às contratações diretas fundadas no art. 74, da Lei n. 14.133, de 2021, desde que seus valores não ultrapassem os limites previstos nos incisos I e II do art. 75, da Lei n. 14.133, de 2021.</w:t>
      </w:r>
    </w:p>
    <w:p>
      <w:r>
        <w:t>5. AQUISIÇÃO DE GÊNEROS ALIMENTÍCIOS</w:t>
      </w:r>
    </w:p>
    <w:p>
      <w:r>
        <w:t>5.1 PAA e aquisição de produtos de agricultores familiares e demais beneficiários do programa</w:t>
      </w:r>
    </w:p>
    <w:p>
      <w:r>
        <w:t>27. A Lei n. 14.628, de 2023, instituiu o Programa de Aquisição de Alimentos - PAA. No âmbito da Administração Pública Federal, o art. 8° estipula que, no mínimo 30% dos recursos destinados a essa finalidade, fossem reservados, sempre que possível, à aquisição de produtos de agricultores familiares e de suas organizações, por meio de modalidade específica, nos termos do regulamento.</w:t>
      </w:r>
    </w:p>
    <w:p>
      <w:r>
        <w:t>28. O Decreto n. 11.802, de 2023, regulamentou a matéria.</w:t>
      </w:r>
    </w:p>
    <w:p>
      <w:r>
        <w:t>29. Alerta-se: não é necessariamente 30% do objeto de uma licitação, mas 30% dos recursos previstos pelo órgão para aquisição de alimentos durante todo o exercício financeiro em curso, que devem ser destinados à aquisição junto a agricultores familiares e demais categorias beneficiárias.</w:t>
      </w:r>
    </w:p>
    <w:p>
      <w:r>
        <w:t>30. Trata-se de uma questão de planejamento do órgão, que deverá garantir o percentual de aquisição de acordo com suas necessidades e da forma que melhor atenda ao interesse público.</w:t>
      </w:r>
    </w:p>
    <w:p>
      <w:r>
        <w:t>5.2 Aquisição de alimentos com recursos do PNAE</w:t>
      </w:r>
    </w:p>
    <w:p>
      <w:r>
        <w:t>31. A Lei n. 11.947, de 2009, determina que, no mínimo, 30% do valor repassado pelo Fundo Nacional de Desenvolvimento da Educação (FNDE) para o Programa Nacional de Alimentação Escolar (PNAE) deve ser utilizado na compra de gêneros alimentícios diretamente da agricultura familiar e do empreendedor familiar rural ou de suas organizações, priorizando-se os assentamentos da reforma agrária, as comunidades tradicionais indígenas e as comunidades quilombolas e os grupos formais e informais de mulheres.</w:t>
      </w:r>
    </w:p>
    <w:p>
      <w:r>
        <w:t>32. A aquisição dos produtos da Agricultura Familiar poderá ser realizada por meio da Chamada Pública, dispensando-se, nesse caso, o procedimento licitatório.</w:t>
      </w:r>
    </w:p>
    <w:p>
      <w:r>
        <w:t>33. Importante: a presente manifestação jurídica referencial não se aplica às aquisições realizadas por dispensa de licitação, para chamada pública.</w:t>
      </w:r>
    </w:p>
    <w:p>
      <w:r>
        <w:t>Recomendação:</w:t>
      </w:r>
    </w:p>
    <w:p>
      <w:r>
        <w:t>34.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atestar que 30% do total dos recursos destinados pela entidade à aquisição de alimentos no presente exercício financeiro foram ou serão destinados à aquisição de gêneros alimentícios diretamente de agricultores familiares e demais categorias beneficiárias, ou, se for o caso, justificar eventual não atendimento do percentual com base no art. 4°, § 2°, do Decreto n. 11.802/2023. b. se a origem dos recursos for o PNAE, deverá o gestor atestar ou justificar, previamente, o cumprimento do percentual mínimo exigido no art. 14 da Lei 11.947, de 2009.</w:t>
            </w:r>
          </w:p>
        </w:tc>
      </w:tr>
    </w:tbl>
    <w:p/>
    <w:p>
      <w:r>
        <w:t>a. atestar que 30% do total dos recursos destinados pela entidade à aquisição de alimentos no presente exercício financeiro foram ou serão destinados à aquisição de gêneros alimentícios diretamente de agricultores familiares e demais categorias beneficiárias, ou, se for o caso, justificar eventual não atendimento do percentual com base no art. 4°, § 2°, do Decreto n. 11.802/2023.</w:t>
      </w:r>
    </w:p>
    <w:p>
      <w:r>
        <w:t>b. se a origem dos recursos for o PNAE, deverá o gestor atestar ou justificar, previamente, o cumprimento do percentual mínimo exigido no art. 14 da Lei 11.947, de 2009.</w:t>
      </w:r>
    </w:p>
    <w:p>
      <w:r>
        <w:t>6. NORMAS DE GOVERNANÇA</w:t>
      </w:r>
    </w:p>
    <w:p>
      <w:r>
        <w:t>35. Deve ser observado o Decreto n. 10.193, de 2019, que estabelece limites e instâncias de governança para a contratação de bens e serviços no âmbito da Administração Pública Federal, para as atividades de custeio. A Portaria ME n. 7.828, de 2022, estabelece normas complementares para o cumprimento do Decreto.</w:t>
      </w:r>
    </w:p>
    <w:p>
      <w:r>
        <w:t>36. Ressalte-se que as disposições do Decreto n. 10.193, de 2019, não se aplicam às agências reguladoras, nos termos de seu art. 1°, parágrafo único, II.</w:t>
      </w:r>
    </w:p>
    <w:p>
      <w:r>
        <w:t>37. Também deverá ser cumprido o Decreto n. 8.540, de 2015, que trata das medidas de racionalização do gasto público nas contratações para aquisição de bens e prestação de serviços pela Administração.</w:t>
      </w:r>
    </w:p>
    <w:p>
      <w:r>
        <w:t>38. Alerta-se: a Administração deve ter razoabilidade e parcimônia na aquisição de alimentos diferenciados, tais como carnes e peixes nobres, frutos do mar, bebidas alcóolicas, entre outros. A justificativa deve demonstrar a real necessidade e a correlação com os objetivos da entidade, observando as recomendações do TCU (Acórdão n. 2.155/2012-Plenário).</w:t>
      </w:r>
    </w:p>
    <w:p>
      <w:r>
        <w:t>Recomendação:</w:t>
      </w:r>
    </w:p>
    <w:p>
      <w:r>
        <w:t>39.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a autorização para celebrar a contratação, para as atividades de custeio (art. 3° do Decreto n. 10.193, de 2019); b. juntar tal autorização aos autos antes da efetiva contratação; c. certificar-se da obediência das regras internas de competência (art. 3° da Portaria ME n. 7.828, de 2022); d. manifestar-se acerca da essencialidade e o interesse público da contratação (art. 3° do Decreto n. 8.540, de 2015).</w:t>
            </w:r>
          </w:p>
        </w:tc>
      </w:tr>
    </w:tbl>
    <w:p/>
    <w:p>
      <w:r>
        <w:t>a. comprovar a autorização para celebrar a contratação, para as atividades de custeio (art. 3° do Decreto n.</w:t>
      </w:r>
    </w:p>
    <w:p>
      <w:r>
        <w:t>10.193, de 2019);</w:t>
      </w:r>
    </w:p>
    <w:p>
      <w:r>
        <w:t>b. juntar tal autorização aos autos antes da efetiva contratação;</w:t>
      </w:r>
    </w:p>
    <w:p>
      <w:r>
        <w:t>c. certificar-se da obediência das regras internas de competência (art. 3° da Portaria ME n. 7.828, de 2022);</w:t>
      </w:r>
    </w:p>
    <w:p>
      <w:r>
        <w:t>d. manifestar-se acerca da essencialidade e o interesse público da contratação (art. 3° do Decreto n. 8.540, de 2015).</w:t>
      </w:r>
    </w:p>
    <w:p>
      <w:r>
        <w:t>7. UTILIZAÇÃO DO PREGÃO ELETRÔNICO</w:t>
      </w:r>
    </w:p>
    <w:p>
      <w:r>
        <w:t>40. A escolha pelo pregão eletrônico deve ser justificada pela natureza jurídica do objeto da contratação, sendo obrigatória para bens e serviços considerados comuns, conforme arts. 29 e 6°, inciso XLI, da Lei n. 14.133, de 2021.</w:t>
      </w:r>
    </w:p>
    <w:p>
      <w:r>
        <w:t>41. Considera-se bem comum aquele cujos padrões de desempenho e qualidade podem ser objetivamente definidos pelo Edital, por meio de especificações usuais de mercado (art. 6°, inc. XIII, da Lei n. 14.133, de 2021).</w:t>
      </w:r>
    </w:p>
    <w:p>
      <w:r>
        <w:t>42. Compete ao agente ou setor técnico da administração declarar que o objeto licitatório é de natureza comum para efeito de utilização da modalidade pregão, nos termos da Orientação Normativa AGU n. 54, de 2014.</w:t>
      </w:r>
    </w:p>
    <w:p>
      <w:r>
        <w:t>43. Destaque-se que somente é possível licitar utilizando o pregão eletrônico sob o tipo menor preço ou maior desconto (art. 6°, XLI, Lei n. 14.133, de 2021). Alerta-se: se o critério de julgamento adotado for o maior desconto, não se aplica este Parecer Referencial.</w:t>
      </w:r>
    </w:p>
    <w:p>
      <w:r>
        <w:t>Recomendação:</w:t>
      </w:r>
    </w:p>
    <w:p>
      <w:r>
        <w:t>44.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declarar expressamente que o objeto pode ser considerado como bem comum.</w:t>
            </w:r>
          </w:p>
        </w:tc>
      </w:tr>
    </w:tbl>
    <w:p/>
    <w:p>
      <w:r>
        <w:t>a. declarar expressamente que o objeto pode ser considerado como bem comum.</w:t>
      </w:r>
    </w:p>
    <w:p>
      <w:r>
        <w:t>45. Se a área técnica considerar que não se trata de bens comuns, ou seja, se os bens objeto da licitação forem caracterizados como especiais, não será possível adotar o pregão e, assim, não será aplicável o presente parecer referencial.</w:t>
      </w:r>
    </w:p>
    <w:p>
      <w:r>
        <w:t>8. SISTEMA DE REGISTRO DE PREÇOS</w:t>
      </w:r>
    </w:p>
    <w:p>
      <w:r>
        <w:t>8.1 Hipóteses de aplicação</w:t>
      </w:r>
    </w:p>
    <w:p>
      <w:r>
        <w:t>46. O art. 40, II, da Lei n. 14.133, de 2021, previu que as compras serão processadas por meio do sistema de registro de preços, quando pertinente.</w:t>
      </w:r>
    </w:p>
    <w:p>
      <w:r>
        <w:t>47. De acordo com o art. 3° do Decreto n. 11.462, de 2023, o Sistema de Registro de Preços poderá ser adotado quando a Administração julgar pertinente, em especial:</w:t>
      </w:r>
    </w:p>
    <w:p>
      <w:r>
        <w:t>I. quando, pelas características do objeto, houver necessidade de contratações permanentes ou frequentes;</w:t>
      </w:r>
    </w:p>
    <w:p>
      <w:r>
        <w:t>II. quando for conveniente a aquisição de bens com previsão de entregas parceladas;</w:t>
      </w:r>
    </w:p>
    <w:p>
      <w:r>
        <w:t>III. quando for conveniente para atendimento a mais de um órgão ou a entidade, inclusive nas compras centralizadas;</w:t>
      </w:r>
    </w:p>
    <w:p>
      <w:r>
        <w:t>IV. quando for atender a execução descentralizada de programa ou projeto federal, por meio de compra nacional ou da adesão de que trata o § 2° do art. 32; ou</w:t>
      </w:r>
    </w:p>
    <w:p>
      <w:r>
        <w:t>V. quando, pela natureza do objeto, não for possível definir previamente o quantitativo a ser demandado pela Administração.</w:t>
      </w:r>
    </w:p>
    <w:p>
      <w:r>
        <w:t>48. Alerta-se: o SRP não deve ser adotado quando a Administração pretende realizar contratação única e integral do objeto registrado, extinguindo-se a ata no primeiro uso, conforme entendimento do Tribunal de Contas da União:</w:t>
      </w:r>
    </w:p>
    <w:p>
      <w:r>
        <w:t>Licitação. Registro de preços. Cabimento. Contratação. Princípio da razoabilidade.</w:t>
      </w:r>
    </w:p>
    <w:p>
      <w:r>
        <w:t>É irregular a utilização, pelo órgão gerenciador, do sistema de registro de preços para realização de contratação única e integral do objeto registrado, ocasionando a extinção da ata na primeira contratação, por afronta aos princípios da razoabilidade e da finalidade. Acórdão 1351/2025 Plenário (Pedido de Reexame, Relator Ministro Walton Alencar Rodrigues). Boletim de Jurisprudência n. 545.</w:t>
      </w:r>
    </w:p>
    <w:p>
      <w:r>
        <w:t>Recomendação:</w:t>
      </w:r>
    </w:p>
    <w:p>
      <w:r>
        <w:t>49.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a eventual adoção do SRP, enquadrando a hipótese no art. 3°, caput , do Decreto n. 11.462, de 2023, ou em um ou mais incisos; b. atentar para não utilizar o SRP se for o caso de contratação única e integral do objeto registrado.</w:t>
            </w:r>
          </w:p>
        </w:tc>
      </w:tr>
    </w:tbl>
    <w:p/>
    <w:p>
      <w:r>
        <w:t>a. justificar a eventual adoção do SRP, enquadrando a hipótese no art. 3°, caput , do Decreto n. 11.462, de 2023, ou em um ou mais incisos;</w:t>
      </w:r>
    </w:p>
    <w:p>
      <w:r>
        <w:t>b. atentar para não utilizar o SRP se for o caso de contratação única e integral do objeto registrado.</w:t>
      </w:r>
    </w:p>
    <w:p>
      <w:r>
        <w:t>8.2 Intenção de Registro de Preços</w:t>
      </w:r>
    </w:p>
    <w:p>
      <w:r>
        <w:t>50. A adoção do Sistema de Registro de Preços pressupõe a divulgação da intenção de registro de preços (IRP) perante possíveis órgãos participantes.</w:t>
      </w:r>
    </w:p>
    <w:p>
      <w:r>
        <w:t>51. Atenção: apenas poderá ser dispensada essa divulgação quando o órgão ou a entidade gerenciadora for o único contratante (art. 86, caput e § 1°, da Lei n. 14.133, de 2021, e art. 9°, caput e § 2°, do Decreto n. 11.462, de 2023).</w:t>
      </w:r>
    </w:p>
    <w:p>
      <w:r>
        <w:t>52. Alerta-se: não devem ser utilizadas justificativas diversas para a não divulgação da IRP, tais como, dificuldades de gerenciamento ou necessidades urgentes do órgão, pois a única possibilidade para a dispensa, prevista em lei, é quando a entidade gerenciadora for a única contratante.</w:t>
      </w:r>
    </w:p>
    <w:p>
      <w:r>
        <w:t>53. É possível, porém, que o órgão gerenciador estabeleça o número máximo de participantes, em conformidade com sua capacidade de gerenciamento, bem como aceite ou recuse, justificadamente, (i) quantitativos ínfimos; (ii) inclusão de novos itens; e (iii) itens da mesma natureza com modificações em suas especificações (art. 7°, I e II, do Decreto n. 11.462, de 2023).</w:t>
      </w:r>
    </w:p>
    <w:p>
      <w:r>
        <w:t>54. Observa-se que em se tratando de registro de preços com indicação limitada a unidades de contratação, sem indicação do total a ser adquirido, é vedada a participação de outro órgão ou entidade na ata (art. 82, § 4°, da Lei n. 14.133, de 2021, e artigo 4°, parágrafo único, do Decreto n. 11.462, de 2023).</w:t>
      </w:r>
    </w:p>
    <w:p>
      <w:r>
        <w:t>Recomendação:</w:t>
      </w:r>
    </w:p>
    <w:p>
      <w:r>
        <w:t>55.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nos autos a divulgação da Intenção de Registro de Preços; b. caso seja o único contratante, apresentar a devida justificativa para a não divulgação da IRP, e for o caso.</w:t>
            </w:r>
          </w:p>
        </w:tc>
      </w:tr>
    </w:tbl>
    <w:p/>
    <w:p>
      <w:r>
        <w:t>a. comprovar nos autos a divulgação da Intenção de Registro de Preços;</w:t>
      </w:r>
    </w:p>
    <w:p>
      <w:r>
        <w:t>b. caso seja o único contratante, apresentar a devida justificativa para a não divulgação da IRP, e for o caso.</w:t>
      </w:r>
    </w:p>
    <w:p>
      <w:r>
        <w:t>9. PLANEJAMENTO DA CONTRATAÇÃO</w:t>
      </w:r>
    </w:p>
    <w:p>
      <w:r>
        <w:t>56. O artigo 18 da Lei n. 14.133, de 2021, determina que o planejamento da contratação deve se compatibilizar com o plano de contratações anual e com as leis orçamentárias, bem como abordar todas as considerações técnicas, mercadológicas e de gestão que podem interferir na contratação. O art. 18 traz, ainda, as providências e documentos que devem instruir a fase de planejamento.</w:t>
      </w:r>
    </w:p>
    <w:p>
      <w:r>
        <w:t>57. Para o adequado planejamento, o gestor deve observar as diretrizes e determinações constantes da Lei n. 14.133, de 2021, do Decreto n. 10.947, de 2022 e das IN SEGES/ME n. 58/2022 e IN SEGES/ME n. 81/2022.</w:t>
      </w:r>
    </w:p>
    <w:p>
      <w:r>
        <w:t>58. Recomenda-se observar as orientações do Instrumento de Padronização dos Procedimentos de Contratação (IPP) para a elaboração dos documentos da fase de planejamento.</w:t>
      </w:r>
    </w:p>
    <w:p>
      <w:r>
        <w:t>59. Embora os documentos dessa fase sejam de natureza essencialmente técnica, seguem observações a título de orientação jurídica.</w:t>
      </w:r>
    </w:p>
    <w:p>
      <w:r>
        <w:t>9.1 Designação dos agentes públicos</w:t>
      </w:r>
    </w:p>
    <w:p>
      <w:r>
        <w:t>60. A autoridade máxima do ente assessorado - ou a quem for delegada essa competência - deverá designar agentes públicos para o desempenho das funções essenciais da licitação e da contratação, de acordo com as regras previstas no art. 7° da Lei n. 14.133, de 2021, no Decreto n. 11.246, de 2022, bem como as normas contidas na Instrução Normativa SEGES/ME n. 58, de 2022, e na Instrução Normativa SEGES/ME n. 81, de 2022.</w:t>
      </w:r>
    </w:p>
    <w:p>
      <w:r>
        <w:t>61. Alerta-se: pelo princípio da segregação de funções, é vedada a designação do mesmo agente público para atuação simultânea em funções mais suscetíveis a riscos, com o objetivo de reduzir a ocorrência de fraudes e ocultação de erros na respectiva contratação (art. 7°, § 1°, da Lei n. 14.133, de 2021, art. 12 do Decreto n. 11.246, de 2022).</w:t>
      </w:r>
    </w:p>
    <w:p>
      <w:r>
        <w:t>62. É recomendável a juntada aos autos de todos os atos formais de designação dos agentes públicos para as diferentes funções, certificando que houve atendimento ao princípio da segregação de funções.</w:t>
      </w:r>
    </w:p>
    <w:p>
      <w:r>
        <w:t>63. Nesse sentido, deverá ser comprovado nos autos a designação formal dos seguintes agentes:</w:t>
      </w:r>
    </w:p>
    <w:p>
      <w:r>
        <w:t>° Equipe de planejamento, que é o conjunto de agentes que reúnem as competências necessárias à completa execução das etapas de planejamento da contratação, o que inclui conhecimentos sobre aspectos técnicos- operacionais e de uso do objeto, licitações e contratos, dentre outros. É responsável pela elaboração dos documentos técnicos, como o estudo técnico preliminar, mapa de riscos, orçamento estimativo da licitação, termo de referência e minuta de edital.</w:t>
      </w:r>
    </w:p>
    <w:p>
      <w:r>
        <w:t>° Pregoeiro, que é a pessoa designada, entre servidores efetivos, para tomar decisões, acompanhar o trâmite da licitação, dar impulso ao procedimento licitatório e executar quaisquer outras atividades necessárias ao bom andamento do certame até a homologação. O pregoeiro é auxiliado pela equipe de apoio, que também deve ser previamente designada.</w:t>
      </w:r>
    </w:p>
    <w:p>
      <w:r>
        <w:t>° Gestores e fiscais do contrato, a serem designados na fase de execução do contrato e representam a Administração para exercer as funções estabelecidas nos arts. 21 a 24 do Decreto n. 11.246, de 2022. Recomenda-se a designação previamente à assinatura do contrato, garantindo o acompanhamento e fiscalização integral e contínuo do processo.</w:t>
      </w:r>
    </w:p>
    <w:p>
      <w:r>
        <w:t>64. Atenção: a escolha dos agentes públicos deve ser objeto de especial atenção do gestor, pois definem o planejamento, condução e todo o processo de contratação. Em relação à fiscalização contratual, destaca-se que a Administração pode ser responsabilizada por eventuais falhas ou prejuízos ao erário. Sendo assim, para escolha desses agentes públicos, a autoridade competente deverá considerar atentamente os requisitos do § 2° do art. 8° e do art. 10 do Decreto n. 11.246, de 2022.</w:t>
      </w:r>
    </w:p>
    <w:p>
      <w:r>
        <w:t>Recomendação:</w:t>
      </w:r>
    </w:p>
    <w:p>
      <w:r>
        <w:t>65.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juntar aos autos o ato formal de designação da equipe de planejamento e do pregoeiro e sua equipe de apoio; b. designar os gestores e fiscais da execução contratual, preferencialmente, antes da assinatura do contrato (art. 8°, § 6°, do Decreto n. 11.246, de 2022); c. observar atentamente os requisitos do § 2° do art. 8° e do art. 10 do Decreto n. 11.246, de 2022, para as designações.</w:t>
            </w:r>
          </w:p>
        </w:tc>
      </w:tr>
    </w:tbl>
    <w:p/>
    <w:p>
      <w:r>
        <w:t>a. juntar aos autos o ato formal de designação da equipe de planejamento e do pregoeiro e sua equipe de apoio;</w:t>
      </w:r>
    </w:p>
    <w:p>
      <w:r>
        <w:t>b. designar os gestores e fiscais da execução contratual, preferencialmente, antes da assinatura do contrato (art.</w:t>
      </w:r>
    </w:p>
    <w:p>
      <w:r>
        <w:t>8°, § 6°, do Decreto n. 11.246, de 2022);</w:t>
      </w:r>
    </w:p>
    <w:p>
      <w:r>
        <w:t>c. observar atentamente os requisitos do § 2° do art. 8° e do art. 10 do Decreto n. 11.246, de 2022, para as designações.</w:t>
      </w:r>
    </w:p>
    <w:p>
      <w:r>
        <w:t>9.2 Documento de Formalização da Demanda (DFD)</w:t>
      </w:r>
    </w:p>
    <w:p>
      <w:r>
        <w:t>66. O Documento de Formalização da Demanda é instrumento obrigatório para a deflagração do certame e deve trazer os conteúdos do art. 8° do Decreto n. 10.947, de 2022, especialmente a justificativa da necessidade da contratação, o nome da área requisitante ou técnica com a identificação do responsável e a indicação da data pretendida para a conclusão da contratação.</w:t>
      </w:r>
    </w:p>
    <w:p>
      <w:r>
        <w:t>Recomendação:</w:t>
      </w:r>
    </w:p>
    <w:p>
      <w:r>
        <w:t>67.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DFD com todos os conteúdos do art. 8° do Decreto n. 10.947, de 2022, especialmente a justificativa da necessidade da contratação, o nome da área requisitante ou técnica com a identificação do responsável e a indicação da data pretendida para a conclusão da contratação.</w:t>
            </w:r>
          </w:p>
        </w:tc>
      </w:tr>
    </w:tbl>
    <w:p/>
    <w:p>
      <w:r>
        <w:t>a. elaborar o DFD com todos os conteúdos do art. 8° do Decreto n. 10.947, de 2022, especialmente a justificativa da necessidade da contratação, o nome da área requisitante ou técnica com a identificação do responsável e a indicação da data pretendida para a conclusão da contratação.</w:t>
      </w:r>
    </w:p>
    <w:p>
      <w:r>
        <w:t>9.3 Estudo Técnico Preliminar (ETP)</w:t>
      </w:r>
    </w:p>
    <w:p>
      <w:r>
        <w:t>68. O art. 18, inciso I, e § 1°, da Lei n. 14.133/2021e a IN SEGES/ME n. 58/2022estabelecem que a Administração deverá elaborar estudo técnico preliminar da contratação, que constitui a primeira etapa do planejamento de uma contratação e o fundamento para o termo de referência (art. 6°, XX, da Lei n. 14.133/2021 c/c art. 6° da IN SEGES/ME n. 58/2022):</w:t>
      </w:r>
    </w:p>
    <w:p>
      <w:r>
        <w:t>Art. 18. [...]</w:t>
      </w:r>
    </w:p>
    <w:p>
      <w:r>
        <w:t>§ 1° O estudo técnico preliminar a que se refere o inciso I do caput deste artigo deverá evidenciar o problema a ser resolvido e a sua melhor solução, de modo a permitir a avaliação da viabilidade técnica e econômica da contratação, e conterá os seguintes elementos:</w:t>
      </w:r>
    </w:p>
    <w:p>
      <w:r>
        <w:t>I - descrição da necessidade da contratação, considerado o problema a ser resolvido sob a perspectiva do interesse público;</w:t>
      </w:r>
    </w:p>
    <w:p>
      <w:r>
        <w:t>II - demonstração da previsão da contratação no plano de contratações anual, sempre que elaborado, de modo a indicar o seu alinhamento com o planejamento da Administração;</w:t>
      </w:r>
    </w:p>
    <w:p>
      <w:r>
        <w:t>III - requisitos da contratação;</w:t>
      </w:r>
    </w:p>
    <w:p>
      <w:r>
        <w:t>IV - estimativas das quantidades para a contratação, acompanhadas das memórias de cálculo e dos documentos que lhes dão suporte, que considerem interdependências com outras contratações, de modo a possibilitar economia de escala;</w:t>
      </w:r>
    </w:p>
    <w:p>
      <w:r>
        <w:t>V - levantamento de mercado, que consiste na análise das alternativas possíveis, e justificativa técnica e econômica da escolha do tipo de solução a contratar;</w:t>
      </w:r>
    </w:p>
    <w:p>
      <w:r>
        <w:t>VI - estimativa do valor da contratação, acompanhada dos preços unitários referenciais, das memórias de cálculo e dos documentos que lhe dão suporte, que poderão constar de anexo classificado, se a Administração optar por preservar o seu sigilo até a conclusão da licitação;</w:t>
      </w:r>
    </w:p>
    <w:p>
      <w:r>
        <w:t>VII - descrição da solução como um todo, inclusive das exigências relacionadas à manutenção e à assistência técnica, quando for o caso;</w:t>
      </w:r>
    </w:p>
    <w:p>
      <w:r>
        <w:t>VIII - justificativas para o parcelamento ou não da contratação;</w:t>
      </w:r>
    </w:p>
    <w:p>
      <w:r>
        <w:t>IX - demonstrativo dos resultados pretendidos em termos de economicidade e de melhor aproveitamento dos recursos humanos, materiais e financeiros disponíveis;</w:t>
      </w:r>
    </w:p>
    <w:p>
      <w:r>
        <w:t>X - providências a serem adotadas pela Administração previamente à celebração do contrato, inclusive quanto à capacitação de servidores ou de empregados para fiscalização e gestão contratual;</w:t>
      </w:r>
    </w:p>
    <w:p>
      <w:r>
        <w:t>XI - contratações correlatas e/ou interdependentes;</w:t>
      </w:r>
    </w:p>
    <w:p>
      <w:r>
        <w:t>XII - descrição de possíveis impactos ambientais e respectivas medidas mitigadoras, incluídos requisitos de baixo consumo de energia e de outros recursos, bem como logística reversa para desfazimento e reciclagem de bens e refugos, quando aplicável;</w:t>
      </w:r>
    </w:p>
    <w:p>
      <w:r>
        <w:t>XIII - posicionamento conclusivo sobre a adequação da contratação para o atendimento da necessidade a que se destina.</w:t>
      </w:r>
    </w:p>
    <w:p>
      <w:r>
        <w:t>69. Atenção: O art. 18, § 2°, da Lei n. 14.133, de 2021, estabelece que os requisitos dos incisos I, IV, VI, VIII e XIII são obrigatórios. A não previsão de qualquer um dos demais conteúdos deverá ser justificada no próprio documento.</w:t>
      </w:r>
    </w:p>
    <w:p>
      <w:r>
        <w:t>Recomendação:</w:t>
      </w:r>
    </w:p>
    <w:p>
      <w:r>
        <w:t>70.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ETP contendo todas as previsões necessárias, nos termos acima informados; b. elaborar o ETP no Sistema ETP Digital, nos termos do art. 4° da IN SEGES/ME n. 58/2022.</w:t>
            </w:r>
          </w:p>
        </w:tc>
      </w:tr>
    </w:tbl>
    <w:p/>
    <w:p>
      <w:r>
        <w:t>a. elaborar o ETP contendo todas as previsões necessárias, nos termos acima informados;</w:t>
      </w:r>
    </w:p>
    <w:p>
      <w:r>
        <w:t>b. elaborar o ETP no Sistema ETP Digital, nos termos do art. 4° da IN SEGES/ME n. 58/2022.</w:t>
      </w:r>
    </w:p>
    <w:p>
      <w:r>
        <w:t>71. Em relação ao conteúdo obrigatório do ETP, é relevante destacar as seguintes questões, do ponto de vista jurídico:</w:t>
      </w:r>
    </w:p>
    <w:p>
      <w:r>
        <w:t>a) descrição da necessidade da contratação, considerado o problema a ser resolvido sob a perspectiva do interesse público (inc. I):</w:t>
      </w:r>
    </w:p>
    <w:p>
      <w:r>
        <w:t>72. São vedadas especificações do objeto que sejam excessivas, irrelevantes ou desnecessárias, limitem ou frustrem a competição ou sua realização (art. 9° da Lei n. 14.133, de 2021). O gestor deverá tomar as devidas cautelas para assegurar que as especificações correspondam àquelas essenciais à contratação, sem as quais não poderão ser atendidas as necessidades da Administração.</w:t>
      </w:r>
    </w:p>
    <w:p>
      <w:r>
        <w:t>73. Caso as especificações somente possam ser atendidas por uma quantidade de fornecedores considerada restrita, deverá avaliar a pertinência de retirar ou flexibilizar requisitos, mantendo-se apenas aqueles considerados indispensáveis (art. 9°, inc. I, § 2°, da IN SEGES/ME n. 58/2022).</w:t>
      </w:r>
    </w:p>
    <w:p>
      <w:r>
        <w:t>74. A justificativa da necessidade da contratação constitui questão técnica e administrativa. Assim não cabe manifestação jurídica conclusiva acerca do mérito (oportunidade e conveniência) da motivação apresentada e das opções feitas pela Administração, exceto na hipótese de ilegalidade (Enunciado n. 7 do Manual de Boas Práticas Consultivas da Advocacia Geral da União).</w:t>
      </w:r>
    </w:p>
    <w:p>
      <w:r>
        <w:t>Recomendação:</w:t>
      </w:r>
    </w:p>
    <w:p>
      <w:r>
        <w:t>75.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justificativa para a necessidade da contratação, considerando os princípios constitucionais da legalidade, impessoalidade, moralidade e eficiência (art. 37), bem como aqueles previstos no art. 5° da Lei n. 14.133, de 2021: interesse público, probidade administrativa, igualdade, planejamento, transparência, eficácia, motivação, razoabilidade, proporcionalidade, celeridade, economicidade e desenvolvimento nacional sustentável; b. detalhar a necessidade de aquisição de alimentos, o dever legal de fornecê-los, eventual programa que será atendido, como tais alimentos serão preparados e utilizados, além de outras justificativas relevantes.</w:t>
            </w:r>
          </w:p>
        </w:tc>
      </w:tr>
    </w:tbl>
    <w:p/>
    <w:p>
      <w:r>
        <w:t>a. elaborar justificativa para a necessidade da contratação, considerando os princípios constitucionais da legalidade, impessoalidade, moralidade e eficiência (art. 37), bem como aqueles previstos no art. 5° da Lei n. 14.133, de 2021: interesse público, probidade administrativa, igualdade, planejamento, transparência, eficácia, motivação, razoabilidade, proporcionalidade, celeridade, economicidade e desenvolvimento nacional sustentável;</w:t>
      </w:r>
    </w:p>
    <w:p>
      <w:r>
        <w:t>b. detalhar a necessidade de aquisição de alimentos, o dever legal de fornecê-los, eventual programa que será atendido, como tais alimentos serão preparados e utilizados, além de outras justificativas relevantes.</w:t>
      </w:r>
    </w:p>
    <w:p>
      <w:r>
        <w:t>b) estimativa das quantidades a serem contratadas, acompanhada das memórias de cálculo e dos documentos que lhe dão suporte, considerando a interdependência com outras contratações, de modo a possibilitar economia de escala (inc. IV):</w:t>
      </w:r>
    </w:p>
    <w:p>
      <w:r>
        <w:t>76. A Administração deve estimar as quantidades a serem contratadas da forma mais clara e precisa possível. O art. 40 da Lei n.14.133, de 2021, dispõe que o planejamento de compras deve considerar a expectativa de consumo anual, mediante adequadas técnicas quantitativas admitindo-se o fornecimento contínuo:</w:t>
      </w:r>
    </w:p>
    <w:p>
      <w:r>
        <w:t>Art. 40. O planejamento de compras deverá considerar a expectativa de consumo anual e observar o seguinte:</w:t>
      </w:r>
    </w:p>
    <w:p>
      <w:r>
        <w:t>(...)</w:t>
      </w:r>
    </w:p>
    <w:p>
      <w:r>
        <w:t>III - determinação de unidades e quantidades a serem adquiridas em função de consumo e utilização prováveis, cuja estimativa será obtida, sempre que possível, mediante adequadas técnicas quantitativas, admitido o fornecimento contínuo;</w:t>
      </w:r>
    </w:p>
    <w:p>
      <w:r>
        <w:t>77. Isso significa que a demanda a ser considerada para estimativa dos quantitativos deve considerar a necessidade para um ano. Essa demanda deve ser acompanhada da justificativa técnica robusta e adequada. A justificativa para a estimativa de quantitativos deve ser acompanhada da indicação do método utilizado e documentos comprobatórios.</w:t>
      </w:r>
    </w:p>
    <w:p>
      <w:r>
        <w:t>78. Ressalte-se que tal justificativa constitui questão técnica e administrativa, sobre a qual não cabe manifestação jurídica, exceto na hipótese de ilegalidade (Enunciado n. 7 do Manual de Boas Práticas Consultivas da Advocacia Geral da União).</w:t>
      </w:r>
    </w:p>
    <w:p>
      <w:r>
        <w:t>79. Alerta-se: não são admitidas estimativas genéricas ou pouco detalhadas, sem respaldo em elementos técnicos e documentos que evidenciem a exata correlação entre a quantidade estimada e a demanda apresentada.</w:t>
      </w:r>
    </w:p>
    <w:p>
      <w:r>
        <w:t>80. Atenção: o TCU entendeu que caracteriza erro grosseiro a elaboração de documentos para a contratação de serviços sem justificativa das quantidades, em acórdão que pode ser considerado aplicável à Lei n. 14.133/2021, ante a obrigatoriedade de estimar os quantitativos e os custos unitários, prevista no art. 18, § 1°, IV e VI:</w:t>
      </w:r>
    </w:p>
    <w:p>
      <w:r>
        <w:t>Responsabilidade. Culpa. Erro grosseiro. Lei de Introdução às Normas do Direito brasileiro. Serviços. Quantidade. Justificativa. Ausência.</w:t>
      </w:r>
    </w:p>
    <w:p>
      <w:r>
        <w:t>Para fins do exercício do poder sancionatório do TCU, pode ser tipificada como erro grosseiro (art. 28 do Decreto-lei 4.657/1942 - Lindb)a elaboração de documentos que fundamentem a contratação de serviços sem justificativas para os quantitativos a serem adquiridos. Acórdão 2459/2021 Plenário (Pedido de Reexame, Relator Ministro Augusto Nardes) - Boletim de Jurisprudência n. 377.</w:t>
      </w:r>
    </w:p>
    <w:p>
      <w:r>
        <w:t>Recomendação:</w:t>
      </w:r>
    </w:p>
    <w:p>
      <w:r>
        <w:t>81.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justificativa técnica que esclareça a metodologia utilizada para a estimativa dos quantitativos a serem licitados, com a respectiva memória de cálculo e expressa menção aos documentos que a embasaram (ex.: histórico de outras contratações, relatórios, dados sobre a demanda interna, gráficos, séries históricas).</w:t>
            </w:r>
          </w:p>
        </w:tc>
      </w:tr>
    </w:tbl>
    <w:p/>
    <w:p>
      <w:r>
        <w:t>a. elaborar justificativa técnica que esclareça a metodologia utilizada para a estimativa dos quantitativos a serem licitados, com a respectiva memória de cálculo e expressa menção aos documentos que a embasaram (ex.: histórico de outras contratações, relatórios, dados sobre a demanda interna, gráficos, séries históricas).</w:t>
      </w:r>
    </w:p>
    <w:p>
      <w:r>
        <w:t>82. Atenção: A recomendação se mantém ainda que seja adotado o Sistema de Registro de Preços (SRP). A adoção do Sistema de Registro de Preços não dispensa a demonstração de correlação entre a demanda e as quantidades licitadas, ainda que haja alguma dificuldade na estimativa. A estimativa deve estar baseada na realidade do órgão e em estudos técnicos.</w:t>
      </w:r>
    </w:p>
    <w:p>
      <w:r>
        <w:t>83. Cumpre observar, por outro lado, que o art. 4° do Decreto n. 11.462, de 2023, permite o registro de preços com indicação limitada a unidades de contratação, sem indicação do total a ser adquirido, apenas nas seguintes situações:</w:t>
      </w:r>
    </w:p>
    <w:p>
      <w:r>
        <w:t>° quando for a primeira licitação ou contratação direta para o objeto e o órgão ou a entidade não tiver registro de demandas anteriores;</w:t>
      </w:r>
    </w:p>
    <w:p>
      <w:r>
        <w:t>° no caso de alimento perecível; ou</w:t>
      </w:r>
    </w:p>
    <w:p>
      <w:r>
        <w:t>° no caso em que o serviço estiver integrado ao fornecimento de bens.</w:t>
      </w:r>
    </w:p>
    <w:p>
      <w:r>
        <w:t>84. Nessas situações, é obrigatória a indicação do valor máximo da despesa e é vedada a participação de outro órgão ou entidade na ata.</w:t>
      </w:r>
    </w:p>
    <w:p>
      <w:r>
        <w:t>85. Ainda sobre o SRP, o art. 15, II, do Decreto n. 11.462, de 2023, estabelece que o edital disporá sobre a quantidade mínima a ser cotada de unidades de bens, desde que justificada. Essa medida oportuniza a participação de empresas de diferentes portes, ampliando a competitividade da licitação, o que pode levar a uma maior vantajosidade na contratação. Nesse caso, poderá haver multiplicidade de fornecedores para o mesmo item.</w:t>
      </w:r>
    </w:p>
    <w:p>
      <w:r>
        <w:t>Recomendação:</w:t>
      </w:r>
    </w:p>
    <w:p>
      <w:r>
        <w:t>86. Se for adotado o SRP, com indicação limitada a unidades de contratação, sem indicação do total a ser adquirido,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que a situação se encaixa nas hipóteses do art. 4° do Decreto n. 11.462, de 2023; b. indicar o valor máximo da despesa; c. vedar a participação de outro órgão ou entidade na ARP.</w:t>
            </w:r>
          </w:p>
        </w:tc>
      </w:tr>
    </w:tbl>
    <w:p/>
    <w:p>
      <w:r>
        <w:t>a. comprovar que a situação se encaixa nas hipóteses do art. 4° do Decreto n. 11.462, de 2023;</w:t>
      </w:r>
    </w:p>
    <w:p>
      <w:r>
        <w:t>b. indicar o valor máximo da despesa;</w:t>
      </w:r>
    </w:p>
    <w:p>
      <w:r>
        <w:t>c. vedar a participação de outro órgão ou entidade na ARP.</w:t>
      </w:r>
    </w:p>
    <w:p>
      <w:r>
        <w:t>c) estimativa do valor da contratação, acompanhada dos preços unitários referenciais, das memórias de cálculo e dos documentos que lhe dão suporte, que poderão constar de anexo classificado, se a Administração optar por preservar o seu sigilo até a conclusão da licitação (inc. VI):</w:t>
      </w:r>
    </w:p>
    <w:p>
      <w:r>
        <w:t>87. É dever da Administração, elaborar planilha detalhada, com a consolidação dos quantitativos e preços unitários e total da contratação (art. 6°, XXIII, alínea "i", art. 18, IV, e § 1°, VI, da Lei n. 14.133, de 2021).</w:t>
      </w:r>
    </w:p>
    <w:p>
      <w:r>
        <w:t>88. A definição do valor estimado da contratação é ponto sensível da fase de planejamento e merece atenção específica por parte do gestor. Eventuais falhas, erros, irregularidades ou não cumprimento das regras legais pode levar a questionamentos de licitantes e órgãos de controle, comprometendo a contratação e o interesse público envolvido.</w:t>
      </w:r>
    </w:p>
    <w:p>
      <w:r>
        <w:t>89. É a partir da definição do valor estimado que a Administração pode concluir pela viabilidade ou não da contratação, verificar a adequação orçamentária e analisar a exequibilidade e aceitação das propostas ofertadas na licitação.</w:t>
      </w:r>
    </w:p>
    <w:p>
      <w:r>
        <w:t>90. A estimativa de valor impacta, ainda, outros pontos do processo de contratação, como a exclusividade ou não da participação de microempresas, empresas de pequeno porte e cooperativas, valor da garantia eventualmente exigida, margens de preferência e reserva orçamentária.</w:t>
      </w:r>
    </w:p>
    <w:p>
      <w:r>
        <w:t>91. É imprescindível, ainda, que sejam definidos os preços unitários referenciais, não bastando a indicação apenas do valor global da contratação.</w:t>
      </w:r>
    </w:p>
    <w:p>
      <w:r>
        <w:t>92. Atenção: como a aquisição de alimentos ou produtos de limpeza pode envolver centenas de itens, a Administração deve cuidar para que nenhum item do objeto seja negligenciado na pesquisa de preços, observando as regras e análise crítica sobre todos eles.</w:t>
      </w:r>
    </w:p>
    <w:p>
      <w:r>
        <w:t>93. A estimativa do valor da contratação deve ser compatível com a realidade do mercado, considerados os preços constantes de bancos de dados públicos e as quantidades a serem contratadas, observadas a potencial economia de escala e as peculiaridades do local de execução do objeto. (art. 23, Lei n. 14.133, de 2021).</w:t>
      </w:r>
    </w:p>
    <w:p>
      <w:r>
        <w:t>94. Para tanto, é necessária uma adequada pesquisa de preços, que reflita, com a maior exatidão possível, os preços praticados no mercado. A IN SEGES/ME n. 65, de 2021, traz a metodologia detalhada a ser observada para a elaboração da pesquisa de preços.</w:t>
      </w:r>
    </w:p>
    <w:p>
      <w:r>
        <w:t>95. Apesar de se tratar de questão eminentemente técnica, seguem orientações relevantes para a elaboração da pesquisa de preços.</w:t>
      </w:r>
    </w:p>
    <w:p>
      <w:r>
        <w:t>c. 1) Parâmetros</w:t>
      </w:r>
    </w:p>
    <w:p>
      <w:r>
        <w:t>96. O art. 23, § 1°, da Lei n. 14.133, de 2021, traz os parâmetros a serem observados para a definição do valor estimado, que podem ser adotados de forma combinada ou não. Tais parâmetros vêm detalhados no art. 5° da IN SEGES/ME n. 65, de 2021, que estabelece que devem ser utilizados os parâmetros dos incisos I e II prioritariamente (art. 5°, § 1°):</w:t>
      </w:r>
    </w:p>
    <w:tbl>
      <w:tblPr>
        <w:tblW w:type="auto" w:w="0"/>
        <w:tblLook w:firstColumn="1" w:firstRow="1" w:lastColumn="0" w:lastRow="0" w:noHBand="0" w:noVBand="1" w:val="04A0"/>
      </w:tblPr>
      <w:tblGrid>
        <w:gridCol w:w="8640"/>
      </w:tblGrid>
      <w:tr>
        <w:tc>
          <w:tcPr>
            <w:tcW w:type="dxa" w:w="8640"/>
          </w:tcPr>
          <w:p/>
        </w:tc>
      </w:tr>
      <w:tr>
        <w:tc>
          <w:tcPr>
            <w:tcW w:type="dxa" w:w="8640"/>
          </w:tcPr>
          <w:p>
            <w:r>
              <w:t>Inciso I - composição de custos unitários menores ou iguais à mediana do item correspondente nos sistemas oficiais de governo, como Painel de Preços ou Sistema de Compras do Governo Federal. Inciso II - contratações similares feitas pela Administração Pública, em execução ou concluídas no período de 1 (um) ano anterior à data da pesquisa de preços.</w:t>
            </w:r>
          </w:p>
        </w:tc>
      </w:tr>
    </w:tbl>
    <w:p/>
    <w:p>
      <w:r>
        <w:t>Inciso I - composição de custos unitários menores ou iguais à mediana do item correspondente nos sistemas oficiais de governo, como Painel de Preços ou Sistema de Compras do Governo Federal.</w:t>
      </w:r>
    </w:p>
    <w:p>
      <w:r>
        <w:t>Inciso II - contratações similares feitas pela Administração Pública, em execução ou concluídas no período de 1 (um) ano anterior à data da pesquisa de preços.</w:t>
      </w:r>
    </w:p>
    <w:p>
      <w:r>
        <w:t>97. Nas duas hipóteses, deve ser observado o índice de atualização de preços correspondente.</w:t>
      </w:r>
    </w:p>
    <w:p>
      <w:r>
        <w:t>98. Caso não seja possível utilizar os parâmetros acima, deve ser apresentada justificativa, nos termos do art. 5°, § 1°, da IN SEGES/ME n. 65, de 2021. Nessa hipótese, devem ser observados os parâmetros adicionais trazidos pelo art. 5° da IN, incisos III, IV e V.</w:t>
      </w:r>
    </w:p>
    <w:p>
      <w:r>
        <w:t>99. Atenção: se for adotada a pesquisa direta com fornecedores (art. 5°, IV), observar as cautelas estabelecidas no art. 5°, § 2°, em especial:</w:t>
      </w:r>
    </w:p>
    <w:p>
      <w:r>
        <w:t> juntar aos autos a solicitação formal de cotação feita aos fornecedores, por meio de ofício ou e-mail;</w:t>
      </w:r>
    </w:p>
    <w:p>
      <w:r>
        <w:t> manifestação técnica fundamentada acerca da escolha dos fornecedores consultados, constando todas as informações estabelecidas no § 2° do art. 5°;</w:t>
      </w:r>
    </w:p>
    <w:p>
      <w:r>
        <w:t> demonstrar que tentou obter preços de referência em sistemas oficiais de governo e em contratações públicas similares (art. 5°, § 1°, da IN SEGES/ME n. 65/2021), bem como justificar a não utilização desses parâmetros preferenciais;</w:t>
      </w:r>
    </w:p>
    <w:p>
      <w:r>
        <w:t> que as datas das pesquisas feitas junto aos fornecedores não sejam com mais de 6 (seis) meses de antecedência da data de divulgação do edital.</w:t>
      </w:r>
    </w:p>
    <w:p>
      <w:r>
        <w:t>100. Importante: a pesquisa deve ( i) registrar a identidade do bem pesquisado com o objeto a ser licitado; (ii) observar as condições comerciais praticadas, como prazos, locais de entrega, instalação, potencial economia de escala, entre outras particularidades que impactem na formação do preço (art. 4°).</w:t>
      </w:r>
    </w:p>
    <w:p>
      <w:r>
        <w:t>101. Atenção: em relação à aquisição de alimentos, é extremamente relevante que haja comprovação de que a pesquisa guarde consonância com o objeto em suas peculiaridades, uma vez que pode haver variação em relação ao local de entrega, especialmente para produtos perecíveis e sazonais, como frutas, legumes, verduras, carnes, laticínios, entre outros. A diversificação das fontes de pesquisa é ideal, para que reflita com maior fidedignidade o valor do mercado local.</w:t>
      </w:r>
    </w:p>
    <w:p>
      <w:r>
        <w:t>102. Alerta-se: a utilização da ferramenta "Banco de Preços" (ou cotação zênite, ou fonte de preços etc.) não atende aos requisitos da legislação, em especial, o art. 5° da IN SEGES/ME n. 65/2021.</w:t>
      </w:r>
    </w:p>
    <w:p>
      <w:r>
        <w:t>103. O Banco de Preços não se trata de informação primária, mas secundária (Lei n. 12.527, de 2011). A fonte primária deve ser o Painel de Compras do Governo Federal (art. 23, § 1°, inciso I da Lei n. 14.133, de 2021, art. 5°, inciso I, § 1°, da IN SEGES/ME n. 65/2021 e Acórdão 718/2018- Plenário). A utilização da ferramenta "Banco de Preços" pode ser feita apenas como mecanismo auxiliar de busca.</w:t>
      </w:r>
    </w:p>
    <w:p>
      <w:r>
        <w:t>104. Caso a Administração utilize o Banco de Preços como ferramenta auxiliar de pesquisa, deverá juntar aos autos as informações primárias (Painel de Preços) que confirmem e reforcem a pesquisa realizada nos autos, para pleno atendimento do art. 5°, inciso I, § 1°, da IN SEGES/ME n. 65, de 2021.</w:t>
      </w:r>
    </w:p>
    <w:p>
      <w:r>
        <w:t>105. Se for adotado o SRP e, após a publicação da Intenção de Registro de Preços (IRP), houver manifestação de interesse por parte de outros órgãos, recomenda-se que a Administração analise a necessidade de realizar uma nova pesquisa de preços, considerando os novos quantitativos demandados pelos órgãos participantes e eventual impacto na economia de escala.</w:t>
      </w:r>
    </w:p>
    <w:p>
      <w:r>
        <w:t>Recomendação:</w:t>
      </w:r>
    </w:p>
    <w:p>
      <w:r>
        <w:t>106.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pesquisa de preços, ampla e idônea, observando as diretrizes traçadas pela Lei n. 14.133, de 2021, e IN SEGES/ME n. 65, de 2021, a fim de definir o valor estimado da contratação; b. cuidar para que nenhum item do objeto seja negligenciado na pesquisa de preços, especialmente porque a aquisição de alimentos ou produtos de limpeza pode envolver centenas de itens; c. certificar que a pesquisa reflete o valor praticado no local do fornecimento dos produtos, sugerindo-se diversificar as fontes de pesquisa, para que seja feito um esforço adicional para obter preços o mais próximo possível da realidade local; d. caso utilize o Banco de Preços, juntar as informações respectivas do Painel de Preços ou contratações similares que confirmem a pesquisa; e. avaliar a necessidade de realizar nova pesquisa de preços, em caso de manifestação de interesse de outros órgãos após IRP.</w:t>
            </w:r>
          </w:p>
        </w:tc>
      </w:tr>
    </w:tbl>
    <w:p/>
    <w:p>
      <w:r>
        <w:t>a. elaborar pesquisa de preços, ampla e idônea, observando as diretrizes traçadas pela Lei n. 14.133, de 2021, e IN SEGES/ME n. 65, de 2021, a fim de definir o valor estimado da contratação;</w:t>
      </w:r>
    </w:p>
    <w:p>
      <w:r>
        <w:t>b. cuidar para que nenhum item do objeto seja negligenciado na pesquisa de preços, especialmente porque a aquisição de alimentos ou produtos de limpeza pode envolver centenas de itens;</w:t>
      </w:r>
    </w:p>
    <w:p>
      <w:r>
        <w:t>c. certificar que a pesquisa reflete o valor praticado no local do fornecimento dos produtos, sugerindo-se diversificar as fontes de pesquisa, para que seja feito um esforço adicional para obter preços o mais próximo possível da realidade local;</w:t>
      </w:r>
    </w:p>
    <w:p>
      <w:r>
        <w:t>d. caso utilize o Banco de Preços, juntar as informações respectivas do Painel de Preços ou contratações similares que confirmem a pesquisa;</w:t>
      </w:r>
    </w:p>
    <w:p>
      <w:r>
        <w:t>e. avaliar a necessidade de realizar nova pesquisa de preços, em caso de manifestação de interesse de outros órgãos após IRP.</w:t>
      </w:r>
    </w:p>
    <w:p>
      <w:r>
        <w:t>c.2) Metodologia para obtenção do peço estimado</w:t>
      </w:r>
    </w:p>
    <w:p>
      <w:r>
        <w:t>107. O preço estimado da contratação deve ser obtido utilizando-se a média, a mediana ou o menor dos valores obtidos na pesquisa de preços, desde que o cálculo incida sobre três ou mais preços coletados na pesquisa feita nos termos do art. 5° (art. 6°, IN SEGES/ME n. 65, de 2021).</w:t>
      </w:r>
    </w:p>
    <w:p>
      <w:r>
        <w:t>108. Devem ser desconsiderados os valores inexequíveis, inconsistentes e os excessivamente elevados (art. 6°).</w:t>
      </w:r>
    </w:p>
    <w:p>
      <w:r>
        <w:t>109. Admite-se a determinação de preço estimado com base em menos de três preços somente em casos excepcionais, mediante justificativa nos autos aprovada pela autoridade competente (art. 6°, § 5°).</w:t>
      </w:r>
    </w:p>
    <w:p>
      <w:r>
        <w:t>110. O preço estimado da contratação poderá ser obtido acrescentando ou subtraindo determinado percentual, de forma a aliar a atratividade do mercado e mitigar o risco de sobrepreço (art. 6°, § 2°).</w:t>
      </w:r>
    </w:p>
    <w:p>
      <w:r>
        <w:t>c.3) Formalização da pesquisa</w:t>
      </w:r>
    </w:p>
    <w:p>
      <w:r>
        <w:t>111. A pesquisa deve ser formalizada nos termos do art. 3° da IN SEGES/ME n. 65/2021, em documento único juntado aos autos, contendo:</w:t>
      </w:r>
    </w:p>
    <w:p>
      <w:r>
        <w:t> a identificação do agente/equipe responsável pela pesquisa;</w:t>
      </w:r>
    </w:p>
    <w:p>
      <w:r>
        <w:t> indicação das fontes consultadas;</w:t>
      </w:r>
    </w:p>
    <w:p>
      <w:r>
        <w:t> série de preços coletados;</w:t>
      </w:r>
    </w:p>
    <w:p>
      <w:r>
        <w:t> método estatístico usado para a definição do valor estimado;</w:t>
      </w:r>
    </w:p>
    <w:p>
      <w:r>
        <w:t> justificativas para a metodologia utilizada, em especial para a desconsideração de valores inconsistentes, inexequíveis ou excessivamente elevados;</w:t>
      </w:r>
    </w:p>
    <w:p>
      <w:r>
        <w:t> memória de cálculo do valor estimado e documentos que lhe dão suporte;</w:t>
      </w:r>
    </w:p>
    <w:p>
      <w:r>
        <w:t> justificativa da escolha dos fornecedores, no caso da pesquisa direta.</w:t>
      </w:r>
    </w:p>
    <w:p>
      <w:r>
        <w:t>112. Alerta-se: a mera juntada das telas de pesquisa ou os orçamentos obtidos não é suficiente, sendo necessária manifestação técnica conclusiva que analise criticamente os preços coletados, com a desconsideração dos preços inexequíveis ou excessivamente elevados (art. 6°, caput, §§ 3° e 4°, da IN SEGES/ME n. 65/2021).</w:t>
      </w:r>
    </w:p>
    <w:p>
      <w:r>
        <w:t>Recomendação:</w:t>
      </w:r>
    </w:p>
    <w:p>
      <w:r>
        <w:t>113.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formalizar a pesquisa em documento único (como "mapa de preços"), contendo as informações do art. 3° da IN SEGES/ME n. 65, de 2021; b. elaborar manifestação técnica conclusiva que analise criticamente os preços coletados, com a desconsideração dos preços inexequíveis ou excessivamente elevados.</w:t>
            </w:r>
          </w:p>
        </w:tc>
      </w:tr>
    </w:tbl>
    <w:p/>
    <w:p>
      <w:r>
        <w:t>a. formalizar a pesquisa em documento único (como "mapa de preços"), contendo as informações do art. 3° da IN SEGES/ME n. 65, de 2021;</w:t>
      </w:r>
    </w:p>
    <w:p>
      <w:r>
        <w:t>b. elaborar manifestação técnica conclusiva que analise criticamente os preços coletados, com a desconsideração dos preços inexequíveis ou excessivamente elevados.</w:t>
      </w:r>
    </w:p>
    <w:p>
      <w:r>
        <w:t>c.4) Orçamento sigiloso</w:t>
      </w:r>
    </w:p>
    <w:p>
      <w:r>
        <w:t>114. O art. 24 da Lei n. 14.133, de 2021, autoriza a Administração a optar pelo orçamento sigiloso, desde que de forma justificada, salvo se o critério de julgamento for o maior desconto, quando a publicidade do orçamento é obrigatória.</w:t>
      </w:r>
    </w:p>
    <w:p>
      <w:r>
        <w:t>115. Assim, caso a Administração opte por tornar o orçamento sigiloso, deve apresentar a devida justificativa (art. 18, XI, da Lei n. 14.133, de 2021).</w:t>
      </w:r>
    </w:p>
    <w:p>
      <w:r>
        <w:t>116. Alerta-se: o sigilo não prevalece para os órgãos de controle interno e externo, aos quais devem sempre ser franqueados os dados (art. 24, I).</w:t>
      </w:r>
    </w:p>
    <w:p>
      <w:r>
        <w:t>117. A Administração deverá ter cautela, ainda, quanto ao encaminhamento dos autos internamente e para a Procuradoria. Recomenda-se que o ente assessorado observe as normas da Portaria Normativa AGU n. 8, de 2021, que disciplina as formas de acesso, utilização e manutenção do módulo Administrativo do Sistema AGU de Inteligência Jurídica - SUPERSAPIENS.</w:t>
      </w:r>
    </w:p>
    <w:p>
      <w:r>
        <w:t>118. Devem ser observadas, também, as diretrizes constantes da Instrução Normativa SEGES/ME n. 73, de 2022, em especial, art. 12.</w:t>
      </w:r>
    </w:p>
    <w:p>
      <w:r>
        <w:t>d) justificativas para o parcelamento ou não da solução (inc. VIII):</w:t>
      </w:r>
    </w:p>
    <w:p>
      <w:r>
        <w:t>119. No caso das compras, o parcelamento do objeto é a regra, desde que seja tecnicamente viável e economicamente vantajoso (art. 40, V, "b", Lei n. 14.133/2021). Para aplicação do princípio do parcelamento, deverão ser considerados (art. 40, V, "b", § 2°, Lei n. 14.133/2021):</w:t>
      </w:r>
    </w:p>
    <w:p>
      <w:r>
        <w:t>I - a viabilidade da divisão do objeto em lotes;</w:t>
      </w:r>
    </w:p>
    <w:p>
      <w:r>
        <w:t>II - o aproveitamento das peculiaridades do mercado local, com vistas à economicidade, sempre que possível, desde que atendidos os parâmetros de qualidade; e</w:t>
      </w:r>
    </w:p>
    <w:p>
      <w:r>
        <w:t>III - o dever de buscar a ampliação da competição e de evitar a concentração de mercado.</w:t>
      </w:r>
    </w:p>
    <w:p>
      <w:r>
        <w:t>120. A Súmula TCU n. 247 dispõe sobre a obrigatoriedade da adjudicação por itens, sempre que houver divisibilidade técnica e econômica:</w:t>
      </w:r>
    </w:p>
    <w:p>
      <w:r>
        <w:t>É obrigatória a admissão da adjudicação por item e não por preço global, nos editais das licitações para a contratação de obras, serviços, compras e alienações, cujo objeto seja divisível,</w:t>
      </w:r>
    </w:p>
    <w:p>
      <w:r>
        <w:t>desde que não haja prejuízo para o conjunto ou complexo ou perda de economia de escala, tendo em vista o objetivo de propiciar a ampla participação de licitantes que, embora não dispondo</w:t>
      </w:r>
    </w:p>
    <w:p>
      <w:r>
        <w:t>de capacidade para a execução, fornecimento ou aquisição da totalidade do objeto, possam fazê-lo com relação a itens ou unidades autônomas, devendo as exigências de habilitação adequar-se a essa divisibilidade.</w:t>
      </w:r>
    </w:p>
    <w:p>
      <w:r>
        <w:t>121. A Lei n. 14.133, de 2021, prevê que o parcelamento não será adotado quando (art. 40, V, "b", § 3°):</w:t>
      </w:r>
    </w:p>
    <w:p>
      <w:r>
        <w:t>I - a economia de escala, a redução de custos de gestão de contratos ou a maior vantagem na contratação recomendar a compra do item do mesmo fornecedor;</w:t>
      </w:r>
    </w:p>
    <w:p>
      <w:r>
        <w:t>II - o objeto a ser contratado configurar sistema único e integrado e houver a possibilidade de risco ao conjunto do objeto pretendido;</w:t>
      </w:r>
    </w:p>
    <w:p>
      <w:r>
        <w:t>III - o processo de padronização ou de escolha de marca levar a fornecedor exclusivo.</w:t>
      </w:r>
    </w:p>
    <w:p>
      <w:r>
        <w:t>122. Atenção: o parcelamento do objeto é a regra. O agrupamento é medida excepcional, que deve ser justificada adequadamente. Nesse caso, a Administração deve demonstrar que não haverá restrição à competitividade e que é a melhor forma de atender ao interesse público, em especial, à vantajosidade da contratação (Acordão TCU n. 2529/2021 - Plenário).</w:t>
      </w:r>
    </w:p>
    <w:p>
      <w:r>
        <w:t>123. Destaca-se que a reunião, em um mesmo lote, de itens usualmente produzidos por empresas de ramos distintos, restringe o caráter competitivo da licitação (cf. Informativo de Licitações e Contratos n. 148/2013 - TCU). Observe que itens diversos, como mercearia, itens frescos, itens industrializados, de origem animal, não são necessariamente vendidos pelos mesmos fornecedores.</w:t>
      </w:r>
    </w:p>
    <w:p>
      <w:r>
        <w:t>124. Se a contratação envolver diversas localidades do Estado/País, o agrupamento traz risco à competitividade do certame. Nesse caso, a Administração deve justificar a concentração do objeto à luz desse fato, pois, em tese, seria possível o parcelamento da contratação. O objetivo dessa recomendação é que haja uma melhor definição do objeto contratual, considerando a capacidade das empresas no mercado de executar o objeto na magnitude pretendida pela Administração, de forma a não restringir a competitividade.</w:t>
      </w:r>
    </w:p>
    <w:p>
      <w:r>
        <w:t>Recomendação:</w:t>
      </w:r>
    </w:p>
    <w:p>
      <w:r>
        <w:t>125.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observar a regra do parcelamento do objeto, nos termos do art. 40, V, "b", § 2°, da Lei n. 14.133, de 2021; b. justificar eventual agrupamento nos termos das orientações acima, observando que somente será possível o agrupamento se for comprovado que essa escolha é a que melhor atende o art. 40, § 3°, Lei n. 14.133/2021.</w:t>
            </w:r>
          </w:p>
        </w:tc>
      </w:tr>
    </w:tbl>
    <w:p/>
    <w:p>
      <w:r>
        <w:t>a. observar a regra do parcelamento do objeto, nos termos do art. 40, V, "b", § 2°, da Lei n. 14.133, de 2021;</w:t>
      </w:r>
    </w:p>
    <w:p>
      <w:r>
        <w:t>b. justificar eventual agrupamento nos termos das orientações acima, observando que somente será possível o agrupamento se for comprovado que essa escolha é a que melhor atende o art. 40, § 3°, Lei n. 14.133/2021.</w:t>
      </w:r>
    </w:p>
    <w:p>
      <w:r>
        <w:t>e) posicionamento conclusivo sobre a adequação da contratação para o atendimento da necessidade a que se destina (inc. XIII):</w:t>
      </w:r>
    </w:p>
    <w:p>
      <w:r>
        <w:t>126. Deve ser providenciado o posicionamento conclusivo sobre a adequação da contratação para o atendimento da necessidade pública.</w:t>
      </w:r>
    </w:p>
    <w:p>
      <w:r>
        <w:t>9.4 Mapa de Riscos</w:t>
      </w:r>
    </w:p>
    <w:p>
      <w:r>
        <w:t>127. O mapa de riscos deve conter a análise dos riscos que possam comprometer o sucesso da licitação e a boa execução contratual (art. 18, X, da Lei n. 14.133, de 2021). Deve ser elaborado no módulo de Gestão de Riscos Digital, conforme previsto no item 5.2 do Instrumento de Padronização dos Procedimentos de Contratação, com a indicação da probabilidade, impacto, responsável e ações preventiva e de contingência para cada um dos riscos (disponível em https:// www.gov.br/agu/pt-br/composicao/cgu/cgu/ guias/instrumento-de-padronizacao-dos-procedimento-de-contratacao-agu-fev-2024.pdf).</w:t>
      </w:r>
    </w:p>
    <w:p>
      <w:r>
        <w:t>128. O "Mapa de Riscos" não se confunde com cláusula de matriz de risco, que pode constar da minuta de contrato e é considerada como a caracterizadora do equilíbrio econômico- financeiro inicial do contrato, em que se aloca, de forma prévia e acertada, a responsabilidade das partes por possível ônus financeiro decorrente de eventos supervenientes à contratação.</w:t>
      </w:r>
    </w:p>
    <w:p>
      <w:r>
        <w:t>Recomendação:</w:t>
      </w:r>
    </w:p>
    <w:p>
      <w:r>
        <w:t>129.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e juntar aos autos o mapa de riscos, adotando-se, para todas as fases da contratação, o modelo disponível no módulo de Gestão de Riscos Digital, com indicação do risco, da probabilidade, do impacto, do responsável e das ações preventiva e de contingência (art. 18, inciso X, da Lei n. 14.133, de 2021, e item 5.2 do IPP).</w:t>
            </w:r>
          </w:p>
        </w:tc>
      </w:tr>
    </w:tbl>
    <w:p/>
    <w:p>
      <w:r>
        <w:t>a. elaborar e juntar aos autos o mapa de riscos, adotando-se, para todas as fases da contratação, o modelo disponível no módulo de Gestão de Riscos Digital, com indicação do risco, da probabilidade, do impacto, do responsável e das ações preventiva e de contingência (art. 18, inciso X, da Lei n. 14.133, de 2021, e item 5.2 do IPP).</w:t>
      </w:r>
    </w:p>
    <w:p>
      <w:r>
        <w:t>9.5 Termo de Referência (TR)</w:t>
      </w:r>
    </w:p>
    <w:p>
      <w:r>
        <w:t>130. O Termo de Referência é documento obrigatório e necessário para a contratação de bens e serviços, sendo documento constitutivo da fase preparatória da instrução do processo de licitação (art. 3°, I, da IN SEGES/ME n. 81, de 2022.</w:t>
      </w:r>
    </w:p>
    <w:p>
      <w:r>
        <w:t>131. Na elaboração do Termo de Referência, a Administração deve observar os parâmetros e elementos definidos no art. 6°, XXIII, da Lei n. 14.133, de 2021, na IN SEGES/ME n. 81, de 2022, além do disposto no art. 40, § 1°, da Lei n. 14.133, de 2021, para o caso específico de compras:</w:t>
      </w:r>
    </w:p>
    <w:p>
      <w:r>
        <w:t>I - definição do objeto, incluídos:</w:t>
      </w:r>
    </w:p>
    <w:p>
      <w:r>
        <w:t>a) sua natureza, os quantitativos, o prazo do contrato e, se for o caso, a possibilidade de sua prorrogação;</w:t>
      </w:r>
    </w:p>
    <w:p>
      <w:r>
        <w:t>b) a especificação do bem ou do serviço, preferencialmente conforme catálogo eletrônico de padronização de que trata a Portaria n. 938, de 2 de fevereiro de 2022, observados os requisitos de qualidade, rendimento, compatibilidade, durabilidade e segurança;</w:t>
      </w:r>
    </w:p>
    <w:p>
      <w:r>
        <w:t>c) a indicação dos locais de entrega dos produtos e das regras para recebimentos provisório e definitivo, quando for o caso;</w:t>
      </w:r>
    </w:p>
    <w:p>
      <w:r>
        <w:t>d) a especificação da garantia exigida e das condições de manutenção e assistência técnica, quando for o caso;</w:t>
      </w:r>
    </w:p>
    <w:p>
      <w:r>
        <w:t>II - fundamentação da contratação, que consiste na referência aos estudos técnicos preliminares correspondentes, quando elaborados, ou, quando não for possível divulgar esses estudos, no extrato das partes que não contiverem informações sigilosas;</w:t>
      </w:r>
    </w:p>
    <w:p>
      <w:r>
        <w:t>III - descrição da solução como um todo, considerado todo o ciclo de vida do objeto, com preferência a arranjos inovadores em sede de economia circular;</w:t>
      </w:r>
    </w:p>
    <w:p>
      <w:r>
        <w:t>IV - requisitos da contratação;</w:t>
      </w:r>
    </w:p>
    <w:p>
      <w:r>
        <w:t>V - modelo de execução do objeto, que consiste na definição de como o contrato deverá produzir os resultados pretendidos desde o seu início até o seu encerramento;</w:t>
      </w:r>
    </w:p>
    <w:p>
      <w:r>
        <w:t>VI - modelo de gestão do contrato, que descreve como a execução do objeto será acompanhada e fiscalizada pelo órgão ou entidade;</w:t>
      </w:r>
    </w:p>
    <w:p>
      <w:r>
        <w:t>VII - critérios de medição e de pagamento;</w:t>
      </w:r>
    </w:p>
    <w:p>
      <w:r>
        <w:t>VIII - forma e critérios de seleção do fornecedor, optando-se pelo critério de julgamento de técnica e preço, conforme o disposto no § 1° do art. 36 da Lei n. 14.133, de 2021, sempre que a avaliação e a ponderação da qualidade técnica das propostas que superarem os requisitos mínimos estabelecidos no edital forem relevantes aos fins pretendidos pela Administração;</w:t>
      </w:r>
    </w:p>
    <w:p>
      <w:r>
        <w:t>IX - estimativas do valor da contratação, nos termos da Instrução Normativa n. 65, de 7 de julho de 2021, acompanhadas dos preços unitários referenciais, das memórias de cálculo e dos documentos que lhe dão suporte, com os parâmetros utilizados para a obtenção dos preços e para os respectivos cálculos, que devem constar de documento separado e classificado; e</w:t>
      </w:r>
    </w:p>
    <w:p>
      <w:r>
        <w:t>X - adequação orçamentária, quando não se tratar de sistema de registro de preços.</w:t>
      </w:r>
    </w:p>
    <w:p>
      <w:r>
        <w:t>132. Destaca-se a necessidade de compatibilizar o conteúdo dos estudos preliminares com o termo de referência, de modo que não existam contradições entre os documentos.</w:t>
      </w:r>
    </w:p>
    <w:p>
      <w:r>
        <w:t>Recomendação:</w:t>
      </w:r>
    </w:p>
    <w:p>
      <w:r>
        <w:t>133.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TR utilizando o modelo padronizado pela AGU, em sua versão mais recente, contendo todos os elementos necessários, nos termos acima informados; b. indicar eventuais alterações, exclusões ou inclusões nas partes editáveis do modelo, acompanhadas das respectivas justificativas; c. elaborar o TR no Sistema TR Digital, nos termos do art. 4° da IN SEGES/ME n. 81 /2022; d. compatibilizar o conteúdo do ETP com o TR, evitando contradições entre os documentos.</w:t>
            </w:r>
          </w:p>
        </w:tc>
      </w:tr>
    </w:tbl>
    <w:p/>
    <w:p>
      <w:r>
        <w:t>a. elaborar o TR utilizando o modelo padronizado pela AGU, em sua versão mais recente, contendo todos os elementos necessários, nos termos acima informados;</w:t>
      </w:r>
    </w:p>
    <w:p>
      <w:r>
        <w:t>b. indicar eventuais alterações, exclusões ou inclusões nas partes editáveis do modelo, acompanhadas das respectivas justificativas;</w:t>
      </w:r>
    </w:p>
    <w:p>
      <w:r>
        <w:t>c. elaborar o TR no Sistema TR Digital, nos termos do art. 4° da IN SEGES/ME n. 81 /2022;</w:t>
      </w:r>
    </w:p>
    <w:p>
      <w:r>
        <w:t>d. compatibilizar o conteúdo do ETP com o TR, evitando contradições entre os documentos.</w:t>
      </w:r>
    </w:p>
    <w:p>
      <w:r>
        <w:t>134. Destacam-se, abaixo, elementos relevantes do TR.</w:t>
      </w:r>
    </w:p>
    <w:p>
      <w:r>
        <w:t>a) alinhamento com o Plano de Contratações Anual e com o Plano Diretor de Logística Sustentável, além de outros instrumentos de planejamento da Administração:</w:t>
      </w:r>
    </w:p>
    <w:p>
      <w:r>
        <w:t>135. O Decreto n. 10.947, de 2022, exige que as contratações estejam previstas e contempladas no Plano de Contratações Anual (PCA), em atenção ao art. 12, VII, da Lei n. 14.133, de 2021.</w:t>
      </w:r>
    </w:p>
    <w:p>
      <w:r>
        <w:t>136. O art. 7° da IN SEGES/ME n. 81/2022, c/c e Portaria SEGES/ME n. 8.678, de 2021, determinam que o TR esteja alinhado ao PCA e ao Plano Diretor de Logística Sustentável da entidade.</w:t>
      </w:r>
    </w:p>
    <w:p>
      <w:r>
        <w:t>Recomendação:</w:t>
      </w:r>
    </w:p>
    <w:p>
      <w:r>
        <w:t>137.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que a contratação pretendida está contemplada no Plano de Contratações Anual da entidade e alinhada com o Plano Diretor de Logística Sustentável e incluir tal informação no TR.</w:t>
            </w:r>
          </w:p>
        </w:tc>
      </w:tr>
    </w:tbl>
    <w:p/>
    <w:p>
      <w:r>
        <w:t>a. comprovar que a contratação pretendida está contemplada no Plano de Contratações Anual da entidade e alinhada com o Plano Diretor de Logística Sustentável e incluir tal informação no TR.</w:t>
      </w:r>
    </w:p>
    <w:p>
      <w:r>
        <w:t>b) previsão de critérios de sustentabilidade:</w:t>
      </w:r>
    </w:p>
    <w:p>
      <w:r>
        <w:t>b.1) aspectos gerais</w:t>
      </w:r>
    </w:p>
    <w:p>
      <w:r>
        <w:t>138. As especificações do objeto devem contemplar critérios de sustentabilidade ambiental, devendo a Administração formular as exigências de forma a não frustrar a competitividade.</w:t>
      </w:r>
    </w:p>
    <w:p>
      <w:r>
        <w:t>139. Deverão ser tomados os seguintes cuidados, (art. 5°, art. 11, IV, art. 18, § 1°, XII, e § 2°, da Lei n. 14.133, de 2021, art. 7°, XI, da Lei n. 12.305, de 2010 e art. 9°, II e XII, da IN SEGES n. 58/2022):</w:t>
      </w:r>
    </w:p>
    <w:p>
      <w:r>
        <w:t>a) definir os critérios e práticas objetivamente no instrumento convocatório como especificação técnica do objeto, obrigação da contratada ou requisito previsto em lei especial;</w:t>
      </w:r>
    </w:p>
    <w:p>
      <w:r>
        <w:t>b) justificar a exigência nos autos;</w:t>
      </w:r>
    </w:p>
    <w:p>
      <w:r>
        <w:t>c) verificar se os critérios e práticas preservam o caráter competitivo do certame;</w:t>
      </w:r>
    </w:p>
    <w:p>
      <w:r>
        <w:t>d) verificar o alinhamento da contratação com o Plano de Gestão de Logística Sustentável;</w:t>
      </w:r>
    </w:p>
    <w:p>
      <w:r>
        <w:t>e) priorização de aquisições de produtos reciclados e/ou recicláveis.</w:t>
      </w:r>
    </w:p>
    <w:p>
      <w:r>
        <w:t>140. Para tanto, deve ser feita consulta ao "Guia Nacional de Contratações Sustentáveis", disponibilizado pela Advocacia-Geral da União no sítio eletrônico: https://www.gov.br/agu/pt-br/composicao/cgu/cgu/modelo s/licitacoesecontratos /licitacoes-sustentaveis.</w:t>
      </w:r>
    </w:p>
    <w:p>
      <w:r>
        <w:t>141. Importante: caso o objeto contratual não conste no Guia, devem ser verificadas normas específicas sobre o bem, conforme orientação do próprio Guia. Se os bens não se sujeitarem a critérios de sustentabilidade ou se as especificações restringirem indevidamente a competição em dado mercado, a Administração deverá apresentar justificativa nos autos.</w:t>
      </w:r>
    </w:p>
    <w:p>
      <w:r>
        <w:t>142. Atenção: evitar previsões genéricas e relativas a outros tipos de contratação, conforme orienta o Guia Nacional de Licitações Sustentáveis da AGU.</w:t>
      </w:r>
    </w:p>
    <w:p>
      <w:r>
        <w:t>b.2) aquisição de gêneros alimentícios</w:t>
      </w:r>
    </w:p>
    <w:p>
      <w:r>
        <w:t>143. A aquisição de alimentos é item específico do Guia Nacional de Contratações Sustentáveis da AGU (itens 6 e 37, fls. 77 a 81 e 213 a 214, 7a edição - versão de outubro/2024 - disponível no link https://www.aov.br/aau/pt br/composicao/cau/ cau/auias/auia-nacional-de- contratacoes-sustentaveis-2024.pdf.</w:t>
      </w:r>
    </w:p>
    <w:p>
      <w:r>
        <w:t>Recomendação:</w:t>
      </w:r>
    </w:p>
    <w:p>
      <w:r>
        <w:t>144.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consultar o Guia Nacional de Contratações Sustentáveis, incluindo no TR os requisitos de sustentabilidade previstos; b. verificar o atendimento às normas específicas de aquisição de alimentos presentes no Guia, em especial:  verificar se o alimento a ser adquirido precisa de registro na ANVISA ou está dispensado;  verificar se há normas referentes às embalagens e rótulos;  incluir, como obrigação do contratado, observar a Resolução RDC Anvisa 216, de 2004, alterada pela RDC 52, de 2014, bem como normas de órgãos de vigilância sanitária estaduais, distrital e municipais;</w:t>
            </w:r>
          </w:p>
        </w:tc>
      </w:tr>
      <w:tr>
        <w:tc>
          <w:tcPr>
            <w:tcW w:type="dxa" w:w="8640"/>
          </w:tcPr>
          <w:p>
            <w:r>
              <w:t> para os produtos de origem animal, inserir como requisito de aceitação do produto que o estabelecimento esteja registrado no Serviço de Inspeção Federal (SIF), Serviço de Inspeção Estadual (SIE), Sistema de Inspeção Municipal (SIM) ou registrado pelos serviços de inspeção que aderiram ao Sistema Unificado de Atenção à Sanidade Agropecuária por meio do Sistema Brasileiro de Inspeção de Produtos de Origem Animal (SISBI/POA);  para os produtos de origem vegetal, exigir que os estabelecimentos que trabalhem no processo de classificação de produtos estejam registrados no Cadastro Geral de Classificação do Ministério da Agricultura, Pecuária e Abastecimento.</w:t>
            </w:r>
          </w:p>
        </w:tc>
      </w:tr>
    </w:tbl>
    <w:p/>
    <w:p>
      <w:r>
        <w:t>a. consultar o Guia Nacional de Contratações Sustentáveis, incluindo no TR os requisitos de sustentabilidade previstos;</w:t>
      </w:r>
    </w:p>
    <w:p>
      <w:r>
        <w:t>b. verificar o atendimento às normas específicas de aquisição de alimentos presentes no Guia, em especial:</w:t>
      </w:r>
    </w:p>
    <w:p>
      <w:r>
        <w:t> verificar se o alimento a ser adquirido precisa de registro na ANVISA ou está dispensado;</w:t>
      </w:r>
    </w:p>
    <w:p>
      <w:r>
        <w:t> verificar se há normas referentes às embalagens e rótulos;</w:t>
      </w:r>
    </w:p>
    <w:p>
      <w:r>
        <w:t> incluir, como obrigação do contratado, observar a Resolução RDC Anvisa 216, de 2004, alterada pela RDC 52, de 2014, bem como normas de órgãos de vigilância sanitária estaduais, distrital e municipais;</w:t>
      </w:r>
    </w:p>
    <w:p>
      <w:r>
        <w:t> para os produtos de origem animal, inserir como requisito de aceitação do produto que o estabelecimento esteja registrado no Serviço de Inspeção Federal (SIF), Serviço de Inspeção Estadual (SIE), Sistema de Inspeção Municipal (SIM) ou registrado pelos serviços de inspeção que aderiram ao Sistema Unificado de Atenção à Sanidade Agropecuária por meio do Sistema Brasileiro de Inspeção de Produtos de Origem Animal (SISBI/POA);</w:t>
      </w:r>
    </w:p>
    <w:p>
      <w:r>
        <w:t> para os produtos de origem vegetal, exigir que os estabelecimentos que trabalhem no processo de classificação de produtos estejam registrados no Cadastro Geral de Classificação do Ministério da Agricultura, Pecuária e Abastecimento.</w:t>
      </w:r>
    </w:p>
    <w:p>
      <w:r>
        <w:t>b.3) aquisição de produtos de limpeza</w:t>
      </w:r>
    </w:p>
    <w:p>
      <w:r>
        <w:t>145. A aquisição de produtos de limpeza e higiene, em especial aqueles considerados saneantes domissanitários, é item específico do Guia Nacional de Contratações Sustentáveis da AGU (item 8, fls. 89 a 96, 7a edição - versão de outubro/2024 -disponível no link https://www.aov.br/aau/pt-br/composicao/cau/cau/auias/auia-nacional-de-contratacoes- sustentaveis-2024.pdf.</w:t>
      </w:r>
    </w:p>
    <w:p>
      <w:r>
        <w:t>Recomendação:</w:t>
      </w:r>
    </w:p>
    <w:p>
      <w:r>
        <w:t>146.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consultar o Guia Nacional de Contratações Sustentáveis, incluindo no TR os requisitos de sustentabilidade previstos; b. caso o objeto contratual não conste no Guia, devem ser verificadas normas específicas sobre o bem, conforme orientação do próprio Guia; c. se os bens não se sujeitarem a critérios de sustentabilidade ou se as especificações restringirem indevidamente a competição em dado mercado, a Administração deverá apresentar justificativa nos autos; d. verificar o atendimento às normas específicas de aquisição de produtos de limpeza considerados como saneantes, trazidas pelo Guia, em especial:</w:t>
            </w:r>
          </w:p>
        </w:tc>
      </w:tr>
      <w:tr>
        <w:tc>
          <w:tcPr>
            <w:tcW w:type="dxa" w:w="8640"/>
          </w:tcPr>
          <w:p>
            <w:r>
              <w:t> verificar se o bem a ser adquirido precisa de registro na ANVISA ou está dispensado, bem como em relação ao licenciamento pelos órgãos estaduais, distritais e municipais. Para os produtos de higiene, o art. 34 da RDC 752, de 2022 estabelece quais os grupos de produtos sujeitos a registro na ANVISA;  verificar se há normas referentes às embalagens e rótulos.</w:t>
            </w:r>
          </w:p>
        </w:tc>
      </w:tr>
    </w:tbl>
    <w:p/>
    <w:p>
      <w:r>
        <w:t>a. consultar o Guia Nacional de Contratações Sustentáveis, incluindo no TR os requisitos de sustentabilidade previstos;</w:t>
      </w:r>
    </w:p>
    <w:p>
      <w:r>
        <w:t>b. caso o objeto contratual não conste no Guia, devem ser verificadas normas específicas sobre o bem, conforme orientação do próprio Guia;</w:t>
      </w:r>
    </w:p>
    <w:p>
      <w:r>
        <w:t>c. se os bens não se sujeitarem a critérios de sustentabilidade ou se as especificações restringirem indevidamente a competição em dado mercado, a Administração deverá apresentar justificativa nos autos;</w:t>
      </w:r>
    </w:p>
    <w:p>
      <w:r>
        <w:t>d. verificar o atendimento às normas específicas de aquisição de produtos de limpeza considerados como saneantes, trazidas pelo Guia, em especial:</w:t>
      </w:r>
    </w:p>
    <w:p>
      <w:r>
        <w:t> verificar se o bem a ser adquirido precisa de registro na ANVISA ou está dispensado, bem como em relação ao licenciamento pelos órgãos estaduais, distritais e municipais. Para os produtos de higiene, o art. 34 da RDC 752, de 2022 estabelece quais os grupos de produtos sujeitos a registro na ANVISA;</w:t>
      </w:r>
    </w:p>
    <w:p>
      <w:r>
        <w:t> verificar se há normas referentes às embalagens e rótulos.</w:t>
      </w:r>
    </w:p>
    <w:p>
      <w:r>
        <w:t>c) observação do catálogo eletrônico de padronização:</w:t>
      </w:r>
    </w:p>
    <w:p>
      <w:r>
        <w:t>147. O catálogo eletrônico de padronização, definido pelo art. 6°, inciso LI, da Lei n. 14.133, de 2021, encontra-se regulamentado pela Portaria SEGES/ME n. 938, de 2022.</w:t>
      </w:r>
    </w:p>
    <w:p>
      <w:r>
        <w:t>148. O uso do catálogo de padronização é, via de regra, obrigatório. A não utilização do catálogo de padronização é situação excepcional, a ser justificada por escrito nos autos (art. 10, parágrafo único, da Portaria SEGES/ME n. 938, de 2022).</w:t>
      </w:r>
    </w:p>
    <w:p>
      <w:r>
        <w:t>149. Atenção: se o bem a ser adquirido se encontrar contemplado no catálogo, as minutas ali padronizadas devem ser, obrigatoriamente, utilizadas. Caso não sejam, deve haver justificativa adequada, inclusive em relação à eventual desatualização dos modelos.</w:t>
      </w:r>
    </w:p>
    <w:p>
      <w:r>
        <w:t>150. Alerta-se: se o objeto da licitação for composto por itens contemplados e itens não contemplados, a Administração deve atentar para que sejam observadas as especificações técnicas e demais requisitos constantes do catálogo para os itens padronizados.</w:t>
      </w:r>
    </w:p>
    <w:p>
      <w:r>
        <w:t>151. Importante: na data de elaboração do presente parecer referencial, o catálogo contempla os objetos café, açúcar e água mineral sem gás. A Administração deve confirmar eventual novo objeto incluído no catálogo.</w:t>
      </w:r>
    </w:p>
    <w:p>
      <w:r>
        <w:t>Recomendação:</w:t>
      </w:r>
    </w:p>
    <w:p>
      <w:r>
        <w:t>152.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verificar se o objeto da licitação está contemplado no catálogo eletrônico de padronização; b. caso o objeto esteja contemplado, devem ser utilizadas as minutas padronizadas do catálogo ou apresentada justificativa; c. se o objeto for composto por itens contemplados e itens não contemplados, atentar para que sejam observadas as especificações técnicas e demais requisitos constantes do catálogo para os itens padronizados; d. seguir a padronização existente para água mineral sem gás, café e açúcar, salvo justificativa.</w:t>
            </w:r>
          </w:p>
        </w:tc>
      </w:tr>
    </w:tbl>
    <w:p/>
    <w:p>
      <w:r>
        <w:t>a. verificar se o objeto da licitação está contemplado no catálogo eletrônico de padronização;</w:t>
      </w:r>
    </w:p>
    <w:p>
      <w:r>
        <w:t>b. caso o objeto esteja contemplado, devem ser utilizadas as minutas padronizadas do catálogo ou apresentada justificativa;</w:t>
      </w:r>
    </w:p>
    <w:p>
      <w:r>
        <w:t>c. se o objeto for composto por itens contemplados e itens não contemplados, atentar para que sejam observadas as especificações técnicas e demais requisitos constantes do catálogo para os itens padronizados; d. seguir a padronização existente para água mineral sem gás, café e açúcar, salvo justificativa.</w:t>
      </w:r>
    </w:p>
    <w:p>
      <w:r>
        <w:t>d) condições gerais da contratação</w:t>
      </w:r>
    </w:p>
    <w:p>
      <w:r>
        <w:t>153. A Administração deve certificar que o bem não se enquadra como bem de luxo. Atentar para a vedação de aquisição de bem de luxo disposta no art. 20 da Lei n. 14.133/2021. Considera-se bem de luxo o bem de consumo de alta elasticidade-renda da demanda, tendo como características a ostentação, opulência, forte apelo estético ou requinte (art. 2° do Decreto n. 10.818, de 2021). Os itens de consumo deverão ser de qualidade comum, não superior à necessária para cumprir as finalidades a que se destinam.</w:t>
      </w:r>
    </w:p>
    <w:p>
      <w:r>
        <w:t>154. Deve-se ter especial atenção à alimentos e bebidas de alto custo, que possam ser considerados bens de luxo, conforme tratado anteriormente neste parecer.</w:t>
      </w:r>
    </w:p>
    <w:p>
      <w:r>
        <w:t>155. As especificações do objeto devem ser claras e precisas, contemplando eventuais requisitos específicos, observando o catálogo eletrônico de padronização, se for o caso (como, por exemplo, no caso de água mineral, café e açúcar). O gestor deve atentar para que as especificações não restrinjam a competitividade.</w:t>
      </w:r>
    </w:p>
    <w:p>
      <w:r>
        <w:t>156. Frise-se: o Guia Nacional de Contratações Sustentáveis traz recomendações de exigências a serem inseridas nos tópicos Sustentabilidade, Julgamento da Proposta e Habilitação Jurídica, contemplando diversas recomendações da legislação específica. A Administração deve analisar o Guia e, se for o caso, inserir as recomendações previstas, tendo a cautela de somente fazer as exigências para os itens em que elas forem aplicáveis.</w:t>
      </w:r>
    </w:p>
    <w:p>
      <w:r>
        <w:t>157. A Administração deve verificar e confirmar a incidência das exigências para os comerciantes de cada classe dos produtos licitados, incluindo aquelas que sejam pertinentes.</w:t>
      </w:r>
    </w:p>
    <w:p>
      <w:r>
        <w:t>158. Atenção: a Administração deve verificar a eventual necessidade de registro dos produtos junto aos órgãos competentes, bem como eventual necessidade de autorização de funcionamento. Caso seja feita a exigência, deve indicar o fundamento legal e o documento específico a ser apresentado.</w:t>
      </w:r>
    </w:p>
    <w:p>
      <w:r>
        <w:t>159. Importante: as empresas sujeitas ao Decreto-Lei n. 986, de 1969, ficam também obrigadas a cumprir o art. 2° da Lei n. 6.360, de 1976, no que se refere à autorização de funcionamento pelo Ministério da Saúde - atualmente, a cargo da ANVISA (art. 41, § 3°, da Lei n. 9.782, de 1999).</w:t>
      </w:r>
    </w:p>
    <w:p>
      <w:r>
        <w:t>160. Alimentos de origem animal: deve ser observado o Decreto n. 9.013, de 2017 - Regulamento de Inspeção Industrial e Sanitária de Produtos de Origem Animal, que estabelece que todo produto de origem animal produzido no país ou importado deve ser registrado no Departamento de Inspeção de Produtos de Origem Animal (art. 427).</w:t>
      </w:r>
    </w:p>
    <w:p>
      <w:r>
        <w:t>161. Aquisição de água mineral natural: a Administração deverá verificar se existem requisitos específicos de qualidade da água a serem incluídos, em especial, aqueles constantes do Código de Águas Minerais (Decreto-Lei n. 7841, de 1945, especialmente arts. 29, 30 e 31). Recomenda-se observar, na descrição, o disposto no catálogo nacional de padronização, modelo de TR para pregão, itens 3.6 e 3.7 (acessível em https://www.aov.br/pncp/pt-br/cataloao-eletronico-de-padronizacao/itens-padronizados/aaua-mineral-natural-sem-aas).</w:t>
      </w:r>
    </w:p>
    <w:p>
      <w:r>
        <w:t>162. Também deve esclarecer se está adquirindo o produto em vasilhames retornáveis ou descartáveis, verificando os requisitos de rotulagem. Caso a aquisição seja em recipientes retornáveis, deve informar se a Administração já possui tais recipientes para a troca. Esclarecer, ainda, se a obrigação do contratado será apenas realizar a troca de um recipiente cheio por um vazio, quando da entrega da água, ou se por outro lado, o órgão utilizará os recipientes de propriedade do contratado, em uma espécie de comodato enquanto durar o fornecimento. Esta informação é determinante na necessidade de se estabelecer ou não obrigações recíprocas com relação a tais recipientes, como se verá no tópico próprio deste parecer.</w:t>
      </w:r>
    </w:p>
    <w:p>
      <w:r>
        <w:t>163. Ainda sobre os recipientes de água, a Administração deve exigir que todos os vasilhames entregues estejam dentro do prazo de validade (que é distinto do prazo de validade do seu conteúdo).</w:t>
      </w:r>
    </w:p>
    <w:p>
      <w:r>
        <w:t>164. Aquisição de café e açúcar: a Administração deve observar o disposto no catálogo nacional de padronização quanto à descrição do objeto (itens 1 e 3 do modelo específico de TR para pregão), acessível em https://www.gov.br/pncp/pt-br/catalogo-eletronico-de- padronizacao/itens-padronizados/cafe-e-acucar).</w:t>
      </w:r>
    </w:p>
    <w:p>
      <w:r>
        <w:t>165. Devem ser fixados preços unitários máximos para cada item do objeto (art. 6°, inciso XXIII, alínea "i", art. 23, § 1°, inciso I, da Lei n. 14.133/2021 c/c art. 5°, inc. I, da IN SEGES/ME n. 65, de 7 de julho de 2021).</w:t>
      </w:r>
    </w:p>
    <w:p>
      <w:r>
        <w:t>Recomendação:</w:t>
      </w:r>
    </w:p>
    <w:p>
      <w:r>
        <w:t>166.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certificar que o bem não se enquadra como bem de luxo; b. assegurar que as especificações sejam precisas e adequadas a satisfazer a necessidade pública; c. assegurar que as especificações não restringem a competitividade do certame; d. fixar os preços unitários para cada item do objeto; e. verificar requisitos específicos para "água mineral", "café" e "açúcar", se for o caso, conforme orientado acima.</w:t>
            </w:r>
          </w:p>
        </w:tc>
      </w:tr>
    </w:tbl>
    <w:p/>
    <w:p>
      <w:r>
        <w:t>a. certificar que o bem não se enquadra como bem de luxo;</w:t>
      </w:r>
    </w:p>
    <w:p>
      <w:r>
        <w:t>b. assegurar que as especificações sejam precisas e adequadas a satisfazer a necessidade pública;</w:t>
      </w:r>
    </w:p>
    <w:p>
      <w:r>
        <w:t>c. assegurar que as especificações não restringem a competitividade do certame;</w:t>
      </w:r>
    </w:p>
    <w:p>
      <w:r>
        <w:t>d. fixar os preços unitários para cada item do objeto;</w:t>
      </w:r>
    </w:p>
    <w:p>
      <w:r>
        <w:t>e. verificar requisitos específicos para "água mineral", "café" e "açúcar", se for o caso, conforme orientado acima.</w:t>
      </w:r>
    </w:p>
    <w:p>
      <w:r>
        <w:t>e) vigência e regime de fornecimento dos bens</w:t>
      </w:r>
    </w:p>
    <w:p>
      <w:r>
        <w:t>167. Deve ser informado o prazo de vigência da contratação, ainda que haja substituição do termo de contrato, o que pode ser feito, por exemplo, por nota de empenho ou outro instrumento equivalente, se admitido. Não é necessário que o prazo de vigência seja de 12 meses, devendo ser adequado às condições impostas ao contratado, como prazo de entrega e demais providências previstas no contrato, desde que limitado aos créditos orçamentários.</w:t>
      </w:r>
    </w:p>
    <w:p>
      <w:r>
        <w:t>168. Atenção: a validade da ata de registro de preços não se confunde com vigência da contratação, uma vez que ata e contrato são institutos diversos. O contrato deriva da ata e deve ser celebrado durante sua validade, porém, tem vigência própria. A ata de registro de preços não substitui o contrato. Assim, deverá ser informada a vigência da contratação, ainda que haja substituição do termo de contrato. Portanto, o prazo da contratação não pode ser contado a partir da assinatura da ata de registro de preços. São prazos independentes e próprios. O prazo da contratação, a ser inserido no TR, deve ser contado da assinatura do termo contratual ou de data futura a ser indicada.</w:t>
      </w:r>
    </w:p>
    <w:p>
      <w:r>
        <w:t>169. A Administração deve observar, ainda, se a contratação será para fornecimento contínuo (art. 106 e 107 da Lei n. 14.133, de 2021) ou por escopo (art. 105 da Lei n. 14.133, de 2021), adotando a redação adequada da vigência da contratação.</w:t>
      </w:r>
    </w:p>
    <w:p>
      <w:r>
        <w:t>170. Alerta-se: existem três tipos de regime de fornecimento de bens previstos na Lei n. 14.133, de 2021:</w:t>
      </w:r>
    </w:p>
    <w:p>
      <w:r>
        <w:t> fornecimento integral, que é aquele em que a entrega ocorre de uma só vez, de forma imediata ou não, sendo considerada como imediata se ocorrer dentro do prazo máximo de 30 dias da ordem de fornecimento (art. 6°, X);</w:t>
      </w:r>
    </w:p>
    <w:p>
      <w:r>
        <w:t> fornecimento parcelado, que é aquele em que a entrega ocorre de forma fracionada durante um período de tempo pré-determinado, sendo necessário indicar no TR as parcelas, condições e prazos, além da forma de recebimento e pagamento;</w:t>
      </w:r>
    </w:p>
    <w:p>
      <w:r>
        <w:t> fornecimento contínuo, que são as compras realizadas pela Administração para a manutenção da atividade administrativa, decorrentes de necessidades permanentes ou prolongadas (art. 6°, XV).</w:t>
      </w:r>
    </w:p>
    <w:p>
      <w:r>
        <w:t>171. Atenção: se o prazo de entrega é de até 30 (trinta) dias contados a partir da solicitação, em remessa única, a entrega, sempre que solicitada, será única e integral e não parcelada. A aquisição em quantidade inferior ao total registrado não implica em entrega parcelada se a quantidade a ser entregue for o total adquirido naquela solicitação e sua entrega ocorrer em até 30 dias da ordem de fornecimento. Assim, recomenda-se certificar a condição de entrega e forma de fornecimento em conformidade com o interesse da Administração e de acordo com as orientações acima expostas.</w:t>
      </w:r>
    </w:p>
    <w:p>
      <w:r>
        <w:t>Recomendação:</w:t>
      </w:r>
    </w:p>
    <w:p>
      <w:r>
        <w:t>172.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definir o regime de fornecimento do bem, de forma justificada; b. definir o prazo de vigência da contratação, que deve ser suficiente para que sejam cumpridas as obrigações contratuais; c. não confundir o prazo de vigência da contratação com a vigência da ata de registro de preços.</w:t>
            </w:r>
          </w:p>
        </w:tc>
      </w:tr>
    </w:tbl>
    <w:p/>
    <w:p>
      <w:r>
        <w:t>a. definir o regime de fornecimento do bem, de forma justificada;</w:t>
      </w:r>
    </w:p>
    <w:p>
      <w:r>
        <w:t>b. definir o prazo de vigência da contratação, que deve ser suficiente para que sejam cumpridas as obrigações contratuais;</w:t>
      </w:r>
    </w:p>
    <w:p>
      <w:r>
        <w:t>c. não confundir o prazo de vigência da contratação com a vigência da ata de registro de preços.</w:t>
      </w:r>
    </w:p>
    <w:p>
      <w:r>
        <w:t>f) indicação ou vedação de marca</w:t>
      </w:r>
    </w:p>
    <w:p>
      <w:r>
        <w:t>173. O art. 41, I, da Lei n. 14.133, de 2021, admite a indicação de uma ou mais marcas ou modelos, de forma excepcional e devidamente justificada. As hipóteses que autorizam tal indicação são taxativas e, ainda que presentes, exigem justificativa:</w:t>
      </w:r>
    </w:p>
    <w:p>
      <w:r>
        <w:t>a) em decorrência da necessidade de padronização do objeto;</w:t>
      </w:r>
    </w:p>
    <w:p>
      <w:r>
        <w:t>b) em ecorrência da necessidade de manter a compatibilidade com plataformas e padrões já adotados pela Administração;</w:t>
      </w:r>
    </w:p>
    <w:p>
      <w:r>
        <w:t>c) quando determinada marca ou modelo comercializados por mais de um fornecedor forem os únicos capazes de atender às necessidades do contratante;</w:t>
      </w:r>
    </w:p>
    <w:p>
      <w:r>
        <w:t>d) quando a descrição do objeto a ser licitado puder ser mais bem compreendida pela identificação de determinada marca ou determinado modelo aptos a servir apenas como referência.</w:t>
      </w:r>
    </w:p>
    <w:p>
      <w:r>
        <w:t>174. Alerta-se: é possível que o licitante apresente prova de qualidade de produto similar aos das marcas eventualmente indicadas, nos termos do art. 42 da Lei n. 14.133, de 2021.</w:t>
      </w:r>
    </w:p>
    <w:p>
      <w:r>
        <w:t>175. Atenção: observar o disposto no art. 40, § 3°, da Lei n. 14.133, de 2021, que dispõe que o parcelamento não será adotado quando o processo de padronização ou de escolha de marca levar a fornecedor exclusivo.</w:t>
      </w:r>
    </w:p>
    <w:p>
      <w:r>
        <w:t>176. De outro lado, é possível vedar a contratação de marca ou produto, quando, mediante processo administrativo, restar comprovado que produtos adquiridos e utilizados anteriormente pela Administração não atendem a requisitos indispensáveis ao pleno adimplemento da obrigação contratual, conforme art. 41, III, da Lei n. 14.133, de 2021.</w:t>
      </w:r>
    </w:p>
    <w:p>
      <w:r>
        <w:t>Recomendação:</w:t>
      </w:r>
    </w:p>
    <w:p>
      <w:r>
        <w:t>177.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eventual indicação de marca na especificação do objeto, demonstrando sua necessidade (art. 41, inciso I, da Lei n. 14.133/2021 c/c Súmula 270 do TCU); b. é possível inserir expressões como "equivalente ou similar" às marcas indicadas, na especificação do bem.</w:t>
            </w:r>
          </w:p>
        </w:tc>
      </w:tr>
    </w:tbl>
    <w:p/>
    <w:p>
      <w:r>
        <w:t>a. justificar eventual indicação de marca na especificação do objeto, demonstrando sua necessidade (art. 41, inciso I, da Lei n. 14.133/2021 c/c Súmula 270 do TCU);</w:t>
      </w:r>
    </w:p>
    <w:p>
      <w:r>
        <w:t>b. é possível inserir expressões como "equivalente ou similar" às marcas indicadas, na especificação do bem.</w:t>
      </w:r>
    </w:p>
    <w:p>
      <w:r>
        <w:t>g) amostra</w:t>
      </w:r>
    </w:p>
    <w:p>
      <w:r>
        <w:t>178. A exigência de amostra, exame de conformidade ou prova de conceito serve para comprovar a aderência do produto ofertado às especificações definidas no termo de referência. Está prevista no art. 17, § 3°, art. 41, inciso II, e art. 42, § 2°, todos da Lei n. 14.133, de 2021, e art. 29, § 1°, da Instrução Normativa SEGES/ME n. 73, de 2022.</w:t>
      </w:r>
    </w:p>
    <w:p>
      <w:r>
        <w:t>179. Trata-se de medida excepcional, que deve ser devidamente justificada nos autos. Registre-se que o julgamento pelo menor preço pode atrair o fornecimento de bens de pouca qualidade, devendo a Administração adotar cautelas para não adquirir material imprestável e, mais importante, evitar repetidamente contratar nessas condições.</w:t>
      </w:r>
    </w:p>
    <w:p>
      <w:r>
        <w:t>180. Alerta-se: havendo mais de um item na licitação, os itens para os quais serão exigidas as amostras devem estar expressamente especificados no TR.</w:t>
      </w:r>
    </w:p>
    <w:p>
      <w:r>
        <w:t>181. Os aspectos e padrões mínimos de aceitabilidade que serão avaliados devem ser informados, preenchendo adequadamente os itens respectivos do TR. Atenção: não deve ser feita exigência genérica, sem especificação dos padrões mínimos de aceitabilidade e os aspectos que serão avaliados.</w:t>
      </w:r>
    </w:p>
    <w:p>
      <w:r>
        <w:t>182. O item relativo à amostra deve ser adequadamente preenchido, inserindo todos os dispositivos específicos da minuta padrão e observar, em especial:</w:t>
      </w:r>
    </w:p>
    <w:p>
      <w:r>
        <w:t>- exigir amostras apenas do licitante melhor classificado em prazo reputado pela Administração Pública como razoável (Acórdãos TCU n. 538/2015 - Plenário e n. 2.796/2013</w:t>
      </w:r>
    </w:p>
    <w:p>
      <w:r>
        <w:t>- Plenário);</w:t>
      </w:r>
    </w:p>
    <w:p>
      <w:r>
        <w:t>- detalhar as regras para avaliação objetiva das amostras (Acórdão TCU n. 1.491/2016 - Plenário);</w:t>
      </w:r>
    </w:p>
    <w:p>
      <w:r>
        <w:t>- prever, expressamente, penalidade para a hipótese de não apresentação das amostras exigidas dentro do prazo estipulado pelo certame (Acórdão TCU n. 299/2011 - Plenário).</w:t>
      </w:r>
    </w:p>
    <w:p>
      <w:r>
        <w:t>Recomendação:</w:t>
      </w:r>
    </w:p>
    <w:p>
      <w:r>
        <w:t>183.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eventual exigência de amostra do produto; b. indicar com clareza e precisão sobre quais itens do objeto recairá a exigência de amostra; c. especificar os aspectos que serão analisados e os padrões mínimos de aceitabilidade; d. observar as recomendações do TCU acima indicadas.</w:t>
            </w:r>
          </w:p>
        </w:tc>
      </w:tr>
    </w:tbl>
    <w:p/>
    <w:p>
      <w:r>
        <w:t>a. justificar eventual exigência de amostra do produto;</w:t>
      </w:r>
    </w:p>
    <w:p>
      <w:r>
        <w:t>b. indicar com clareza e precisão sobre quais itens do objeto recairá a exigência de amostra;</w:t>
      </w:r>
    </w:p>
    <w:p>
      <w:r>
        <w:t>c. especificar os aspectos que serão analisados e os padrões mínimos de aceitabilidade;</w:t>
      </w:r>
    </w:p>
    <w:p>
      <w:r>
        <w:t>d. observar as recomendações do TCU acima indicadas.</w:t>
      </w:r>
    </w:p>
    <w:p>
      <w:r>
        <w:t>h) margens de preferência</w:t>
      </w:r>
    </w:p>
    <w:p>
      <w:r>
        <w:t>184. O art. 26 da Lei n. 14.133, de 2021, previu a possibilidade de serem estabelecidas margens de preferência para bens manufaturados nacionais que atendam a normas técnicas brasileiras e bens reciclados, recicláveis ou biodegradáveis, conforme regulamento.</w:t>
      </w:r>
    </w:p>
    <w:p>
      <w:r>
        <w:t>185. O Decreto n. 11.890, de 2024, regulamenta a questão e dispõe:</w:t>
      </w:r>
    </w:p>
    <w:p>
      <w:r>
        <w:t>Art. 3° Nos processos de licitação realizados no âmbito da administração pública federal direta, autárquica e fundacional, os produtos manufaturados nacionais e os serviços nacionais que atendam aos regulamentos técnicos pertinentes e às normas técnicas brasileiras poderão ser objeto de margem de preferência normal, na forma prevista em resolução da CICS, de até dez por cento sobre o preço dos produtos manufaturados estrangeiros ou dos serviços estrangeiros.</w:t>
      </w:r>
    </w:p>
    <w:p>
      <w:r>
        <w:t>Recomendação:</w:t>
      </w:r>
    </w:p>
    <w:p>
      <w:r>
        <w:t>186.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verificar se o bem objeto da contratação está contemplado com margem de preferência normal ou adicional, conforme resoluções da Comissão Interministerial de Contratações Públicas para o Desenvolvimento Sustentável - CICS; b. se for o caso, justificar o enquadramento e inserir o item pertinente do TR; c. observar o art. 27 da Lei n. 14.133, de 2021.</w:t>
            </w:r>
          </w:p>
        </w:tc>
      </w:tr>
    </w:tbl>
    <w:p/>
    <w:p>
      <w:r>
        <w:t>a. verificar se o bem objeto da contratação está contemplado com margem de preferência normal ou adicional, conforme resoluções da Comissão Interministerial de Contratações Públicas para o Desenvolvimento Sustentável - CICS;</w:t>
      </w:r>
    </w:p>
    <w:p>
      <w:r>
        <w:t>b. se for o caso, justificar o enquadramento e inserir o item pertinente do TR;</w:t>
      </w:r>
    </w:p>
    <w:p>
      <w:r>
        <w:t>c. observar o art. 27 da Lei n. 14.133, de 2021.</w:t>
      </w:r>
    </w:p>
    <w:p>
      <w:r>
        <w:t>i) subcontratação</w:t>
      </w:r>
    </w:p>
    <w:p>
      <w:r>
        <w:t>187. Importa registrar que não pode ser admitida subcontratação para o fornecimento de bens, exceto quando estiver vinculado à prestação de serviços acessórios, conforme nota explicativa da minuta padrão.</w:t>
      </w:r>
    </w:p>
    <w:p>
      <w:r>
        <w:t>188. Observe-se, ainda, que é vedada a subcontratação completa ou da parcela principal da obrigação (Decreto n. 8.538, de 2015, art. 7°, I e § 2°). Nesses termos, a despeito do art. 122 da Lei n. 14.133/2021 mencionar a possibilidade de subcontratação para fornecimento, deve haver uma prestação de serviço acessório envolvida (como, por exemplo, a entrega dos bens em locais de difícil acesso), pois, caso contrário, a subcontratação envolverá, necessariamente, a parcela principal do objeto.</w:t>
      </w:r>
    </w:p>
    <w:p>
      <w:r>
        <w:t>j) condições de entrega</w:t>
      </w:r>
    </w:p>
    <w:p>
      <w:r>
        <w:t>189. Deve haver definição prévia dos locais de entrega, incluindo todos os endereços previstos. A definição do local impacta a formulação da proposta, principalmente em se tratando de locais de difícil acesso. A falta de definição prévia do local de entrega, sendo que esse fator impacta a formulação das propostas, ofende o disposto no art. 6°, XXIII, e art. 18, III, da Lei n. 14.123, de 2021.</w:t>
      </w:r>
    </w:p>
    <w:p>
      <w:r>
        <w:t>190. O prazo de entrega deve ser condizente como produto e a necessidade, além de ser viável do ponto de vista do contratado. Prazos extremamente exíguos podem inviabilizar o fornecimento e a entrega dos bens. Além da restrição à competitividade, uma exigência desproporcional pode levar ao desinteresse na licitação. Produtos que dependem de entregas diárias, como de panificação, por exemplo, devem ter tal informação clara nos autos.</w:t>
      </w:r>
    </w:p>
    <w:p>
      <w:r>
        <w:t>191. Atenção: nas compras com entregas parceladas, é necessário estabelecer um cronograma de entregas, discriminando as respectivas parcelas, prazos e condições no termo de contrato. Nessa hipótese, o termo de contrato apenas poderá ser substituído por instrumento equivalente se o valor da contratação extrapolar o limite que autoriza a dispensa de licitação prevista no inciso II do art. 75, da Lei n. 14.133, de 2021, nos termos do art. 95, I, da Lei n. 14.133, de 2021 (Orientação Normativa AGU n. 84, de 2024).</w:t>
      </w:r>
    </w:p>
    <w:p>
      <w:r>
        <w:t>Recomendação:</w:t>
      </w:r>
    </w:p>
    <w:p>
      <w:r>
        <w:t>192.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definir prévia e expressamente os locais de entrega; b. indicar o prazo de entrega conforme a natureza do produto, as condições de entrega e a necessidade a ser atendida; c. estabelecer um cronograma de entregas, nas compras com entregas parceladas, e utilizar o termo de contrato, que não poderá ser substituído por instrumento equivalente nessas condições, salvo se o valor da contratação estiver no limite da dispensa de licitação prevista no art. 75, II, da Lei n. 14.133, de 2021.</w:t>
            </w:r>
          </w:p>
        </w:tc>
      </w:tr>
    </w:tbl>
    <w:p/>
    <w:p>
      <w:r>
        <w:t>a. definir prévia e expressamente os locais de entrega;</w:t>
      </w:r>
    </w:p>
    <w:p>
      <w:r>
        <w:t>b. indicar o prazo de entrega conforme a natureza do produto, as condições de entrega e a necessidade a ser atendida;</w:t>
      </w:r>
    </w:p>
    <w:p>
      <w:r>
        <w:t>c. estabelecer um cronograma de entregas, nas compras com entregas parceladas, e utilizar o termo de contrato, que não poderá ser substituído por instrumento equivalente nessas condições, salvo se o valor da contratação estiver no limite da dispensa de licitação prevista no art. 75, II, da Lei n. 14.133, de 2021.</w:t>
      </w:r>
    </w:p>
    <w:p>
      <w:r>
        <w:t>k) garantia, manutenção e assistência técnica</w:t>
      </w:r>
    </w:p>
    <w:p>
      <w:r>
        <w:t>193. A garantia legal é aquela estabelecida no Código de Defesa do Consumidor (Lei n. 8.078, de 1990). Portanto, se essa garantia for suficiente para os bens objeto da contratação, basta ser utilizada a redação correspondente na minuta padrão.</w:t>
      </w:r>
    </w:p>
    <w:p>
      <w:r>
        <w:t>194. É possível, ainda, exigir a garantia contratual dos bens, complementar à legal, que deve ser devidamente justificada.</w:t>
      </w:r>
    </w:p>
    <w:p>
      <w:r>
        <w:t>195. A garantia contratual não tem vigência atrelada à duração do contrato e pode ser definida por período diferente da vigência contratual, conforme Orientação Normativa AGU n. 51, de 2014, válida perante a Lei n. 14.133, de 2021:</w:t>
      </w:r>
    </w:p>
    <w:p>
      <w:r>
        <w:t>196.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
        <w:t>197. Atenção: na hipótese de garantia contratual dos bens, manutenção ou assistência técnica, será necessária assinatura de contrato, pois a situação não se encaixará no inciso II do art. 95 da Lei n. 14.133, de 2021.</w:t>
      </w:r>
    </w:p>
    <w:p>
      <w:r>
        <w:t>l) critérios de medição e pagamento</w:t>
      </w:r>
    </w:p>
    <w:p>
      <w:r>
        <w:t>198. Devem ser observadas as disposições da Instrução Normativa SEGES/ME n. 77, de 2022, que já vêm contempladas na redação da minuta padrão da AGU. Nesses termos, recomenda-se que a redação seja mantida sem alterações, de forma a evitar questionamentos, cabendo apenas o preenchimento das partes editáveis, observando-se as notas explicativas respectivas.</w:t>
      </w:r>
    </w:p>
    <w:p>
      <w:r>
        <w:t>m) antecipação do pagamento</w:t>
      </w:r>
    </w:p>
    <w:p>
      <w:r>
        <w:t>199. O art. 145, § 1°, da Lei n. 14.133, de 2021, permitiu, excepcionalmente, a antecipação do pagamento, se propiciar sensível economia de recursos ou se representar condição indispensável para a obtenção do bem. Exige-se justificativa técnica e expressa previsão no instrumento convocatório.</w:t>
      </w:r>
    </w:p>
    <w:p>
      <w:r>
        <w:t>200. Assim, deve a Administração analisar se o mercado opera com exigências comerciais específicas para o produto, o que levaria à inviabilidade da contratação caso não haja a antecipação do pagamento.</w:t>
      </w:r>
    </w:p>
    <w:p>
      <w:r>
        <w:t>201. A respeito do assunto, a AGU editou a Orientação Normativa AGU n. 76, de 2023:</w:t>
      </w:r>
    </w:p>
    <w:p>
      <w:r>
        <w:t>I - Nos contratos administrativos regidos pela Lei n. 14.133, de 2021, em regra, é vedado o pagamento antecipado, parcial ou total, do objeto contratado, sendo excepcionalmente admitido desde que, motivadamente, seja justificado o preenchimento cumulativo dos seguintes requisitos:</w:t>
      </w:r>
    </w:p>
    <w:p>
      <w:r>
        <w:t>a) a medida proporcione sensível economia de recursos ou represente condição indispensável para a consecução do objeto;</w:t>
      </w:r>
    </w:p>
    <w:p>
      <w:r>
        <w:t>b) haja previsão expressa no edital de licitação ou no instrumento formal de contratação direta; e</w:t>
      </w:r>
    </w:p>
    <w:p>
      <w:r>
        <w:t>c) contenha no instrumento convocatório ou no contrato como cautela obrigatória a exigência de devolução do valor antecipado caso não haja execução do objeto no prazo contratual.</w:t>
      </w:r>
    </w:p>
    <w:p>
      <w:r>
        <w:t>II - A partir do exame das circunstâncias que são próprias de cada caso concreto, e para resguardar o interesse público e prejuízos ao erário, poderá, ainda, a administração exigir garantias adicionais para fins de admissão do pagamento antecipado, na forma do art. 92, inciso XII, e art. 96, da Lei n. 14.133, de 2021, bem como poderá adotar outras cautelas, tais como: comprovação da execução de parte ou de etapa inicial do objeto pelo contratado para a antecipação do valor remanescente; emissão de título de crédito pelo contratado; acompanhamento da mercadoria, em qualquer momento do transporte, por representante da administração; exigência de certificação do produto ou do fornecedor; dentre outras.</w:t>
      </w:r>
    </w:p>
    <w:p>
      <w:r>
        <w:t>202. Em resumo, para que seja viabilizada a antecipação do pagamento, é necessário que a Administração apresente justificativa e comprove o atendimento dos seguintes requisitos:</w:t>
      </w:r>
    </w:p>
    <w:p>
      <w:r>
        <w:t> a medida deve proporcionar sensível economia de recursos ou representar condição indispensável para a consecução do objeto;</w:t>
      </w:r>
    </w:p>
    <w:p>
      <w:r>
        <w:t> haja previsão expressa no edital de licitação;</w:t>
      </w:r>
    </w:p>
    <w:p>
      <w:r>
        <w:t> contenha no instrumento convocatório ou no contrato como cautela obrigatória a exigência de devolução do valor antecipado caso não haja execução do objeto no prazo contratual.</w:t>
      </w:r>
    </w:p>
    <w:p>
      <w:r>
        <w:t>203. A Administração pode, ainda, adotar cautelas adicionais para resguardar o erário, tais como:</w:t>
      </w:r>
    </w:p>
    <w:p>
      <w:r>
        <w:t> exigir garantias adicionais, na forma do art. 92, inciso XII, e art. 96 da Lei n. 14.133, de 2021;</w:t>
      </w:r>
    </w:p>
    <w:p>
      <w:r>
        <w:t> exigir a comprovação a execução de parte ou de etapa inicial do objeto pelo contratado para a antecipação do valor remanescente;</w:t>
      </w:r>
    </w:p>
    <w:p>
      <w:r>
        <w:t> exigir a emissão de título de crédito pelo contratado;</w:t>
      </w:r>
    </w:p>
    <w:p>
      <w:r>
        <w:t> exigir o acompanhamento da mercadoria, em qualquer momento do transporte, por representante da administração;</w:t>
      </w:r>
    </w:p>
    <w:p>
      <w:r>
        <w:t> exigir certificação do produto ou do fornecedor; dentre outras,</w:t>
      </w:r>
    </w:p>
    <w:p>
      <w:r>
        <w:t>n) reajuste</w:t>
      </w:r>
    </w:p>
    <w:p>
      <w:r>
        <w:t>204. Deverá ser obrigatoriamente indicado o índice adequado para o reajustamento dos custos decorrentes do mercado, independentemente do prazo de vigência da contratação, ou seja, ainda que seja inferior a 12 meses.</w:t>
      </w:r>
    </w:p>
    <w:p>
      <w:r>
        <w:t>205. Atenção: a data-base do reajuste deve ser vinculada à data do orçamento estimado (art. 25, § 7o, da Lei n. 14.133/2021), conforme consta da minuta padrão, que não deve ser alterada.</w:t>
      </w:r>
    </w:p>
    <w:p>
      <w:r>
        <w:t>206. Alerta-se: devem ser adotadas as orientações abaixo:</w:t>
      </w:r>
    </w:p>
    <w:p>
      <w:r>
        <w:t> adotar o índice específico ou setorial que guarde a maior correlação possível com o segmento econômico em que estejam inseridos tais insumos diversos;</w:t>
      </w:r>
    </w:p>
    <w:p>
      <w:r>
        <w:t> na falta de qualquer índice específico ou setorial, escolher o índice geral melhor correlacionado com a variação inflacionária dos custos da contratação ou ainda, em caráter subsidiário, verificar se existe, no mercado, algum índice geral de adoção consagrada para o objeto contratado;</w:t>
      </w:r>
    </w:p>
    <w:p>
      <w:r>
        <w:t> na falta de qualquer índice geral com a característica do item anterior, adotar o índice Nacional de Preços ao Consumidor Amplo - IPCA/IBGE.</w:t>
      </w:r>
    </w:p>
    <w:p>
      <w:r>
        <w:t> qualquer que seja o índice utilizado, deverá haver a justificativa técnica de sua escolha (item 7, b, do anexo IX da IN SEGES/MP n. 5/2017 c/c item III da Conclusão DEPCONSU/PGF/AGU n. 38/2013).</w:t>
      </w:r>
    </w:p>
    <w:p>
      <w:r>
        <w:t>Recomendação:</w:t>
      </w:r>
    </w:p>
    <w:p>
      <w:r>
        <w:t>207.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indicar o índice de reajuste do contrato, ainda que a vigência seja inferior a 12 meses; b. manter a redação da minuta padrão, limitando-se a preencher as informações sobre o índice e a data do orçamento; c. definir o índice conforme as orientações acima; d. justificar a escolha do índice.</w:t>
            </w:r>
          </w:p>
        </w:tc>
      </w:tr>
    </w:tbl>
    <w:p/>
    <w:p>
      <w:r>
        <w:t>a. indicar o índice de reajuste do contrato, ainda que a vigência seja inferior a 12 meses;</w:t>
      </w:r>
    </w:p>
    <w:p>
      <w:r>
        <w:t>b. manter a redação da minuta padrão, limitando-se a preencher as informações sobre o índice e a data do orçamento;</w:t>
      </w:r>
    </w:p>
    <w:p>
      <w:r>
        <w:t>c. definir o índice conforme as orientações acima;</w:t>
      </w:r>
    </w:p>
    <w:p>
      <w:r>
        <w:t>d. justificar a escolha do índice.</w:t>
      </w:r>
    </w:p>
    <w:p>
      <w:r>
        <w:t>o) requisitos de habilitação</w:t>
      </w:r>
    </w:p>
    <w:p>
      <w:r>
        <w:t>208. Os requisitos de habilitação devem ser previstos conforme os parâmetros estabelecidos nos arts. 62 a 70 da Lei n.</w:t>
      </w:r>
    </w:p>
    <w:p>
      <w:r>
        <w:t>14.133, de 2021 estando restritos ao rol definido pelos arts. 66 a 69, salvo se houver previsão em leis especiais.</w:t>
      </w:r>
    </w:p>
    <w:p>
      <w:r>
        <w:t>209. A minuta padrão da AGU traz os requisitos gerais. Compete à Administração analisar, de forma ponderada, se tais requisitos são pertinentes ao caso concreto, podendo excluir aqueles que sejam incompatíveis, excessivos ou que possam restringir a competitividade do certame. As exigências devem ser limitadas às condições imprescindíveis para o satisfatório cumprimento do objeto licitado. Conforme preceitua o art. 37, inc. XXI, da Constituição Federal, somente serão permitidas exigências de qualificação técnica e econômica indispensáveis à garantia do cumprimento das obrigações.</w:t>
      </w:r>
    </w:p>
    <w:p>
      <w:r>
        <w:t>210. Quanto à habilitação jurídica, é importante esclarecer que a exigência de ato de autorização para o exercício da atividade a ser contratada deve ser específica e fundamentada em lei. Nos termos da nota explicativa da minuta padrão, "A Administração deve analisar se a atividade relativa ao objeto a ser contratado exige registro ou autorização para funcionamento, em razão de previsão legal ou normativa". Se for o caso, devem ser especificados: (i) o documento a ser apresentado, (ii) o órgão competente para expedi-lo e (iii) o fundamento legal.</w:t>
      </w:r>
    </w:p>
    <w:p>
      <w:r>
        <w:t>211. Importante: considerando a natureza dos bens a serem adquiridos, verificar a obrigatoriedade de registro ou autorização de funcionamento dada por órgãos de controle, como ANVISA, Ministério da Agricultura, órgãos estaduais ou municipais de vigilância sanitária e incluir a exigência como requisito de habilitação jurídica, desde que fundamentada em lei a ser devidamente indicada.</w:t>
      </w:r>
    </w:p>
    <w:p>
      <w:r>
        <w:t>212. A habilitação fiscal e trabalhista, via de regra, não deve ser dispensada, salvo nas hipóteses do art. 70, III, da Lei n.14.133, de 2021.</w:t>
      </w:r>
    </w:p>
    <w:p>
      <w:r>
        <w:t>213. Atenção: não devem ser dispensadas, em nenhuma hipótese, as exigências relativas à prova de regularidade com o FGTS e perante a Seguridade Social, salvo em caso de calamidade pública de âmbito nacional (art. 195, § 3o, c/c art. 167-D, parágrafo único, ambos da Constituição Federal).</w:t>
      </w:r>
    </w:p>
    <w:p>
      <w:r>
        <w:t>214. É, ainda, obrigatória a previsão do art. 7o, inc. XXXIII, da CF, que trata da proibição de trabalho noturno, perigoso ou insalubre a menores de dezoito e de qualquer trabalho a menores de dezesseis anos, salvo na condição de aprendiz (art. 68, inciso VI, da Lei n. 14.133, de 2021).</w:t>
      </w:r>
    </w:p>
    <w:p>
      <w:r>
        <w:t>215. Em relação à qualificação técnica, as notas explicativas da minuta padrão da AGU esclarecem que o art. 67 da Lei n. 14.133, de 2021, não estabelece exigências de qualificação técnico-operacional ou técnico-profissional para aquisição de bens, apenas para obras e serviços.</w:t>
      </w:r>
    </w:p>
    <w:p>
      <w:r>
        <w:t>216. Entretanto, é juridicamente possível que a Administração formule exigências de qualificação técnica dos fornecedores no caso de compras de bens, caso fique comprovado que a medida é indispensável à garantia do cumprimento das obrigações pertinentes à execução do objeto (com fundamento no artigo 37, inciso XXI, da Constituição Federal).</w:t>
      </w:r>
    </w:p>
    <w:p>
      <w:r>
        <w:t>217. Se for esse o caso, deve ser apresentada a justificativa técnica e observadas as regras, limites e princípios estabelecidos para a qualificação técnica na contratação de serviços, devidamente adaptadas às peculiaridades das compras. Alerta-se: a qualificação técnica deve ser avaliada com razoabilidade, sem exigências desnecessárias e restritivas ao caráter competitivo.</w:t>
      </w:r>
    </w:p>
    <w:p>
      <w:r>
        <w:t>218. Em relação ao registro ou inscrição da empresa em entidade profissional competente, alerta-se que é hipótese extremamente remota a ser aplicada em aquisições e depende de lei específica que determine tal exigência, a ser comprovada nos autos.</w:t>
      </w:r>
    </w:p>
    <w:p>
      <w:r>
        <w:t>219. Quanto aos atestados de qualificação técnica, não há previsão na Lei n. 14.133. de 2021. para o caso de compras. A nota explicativa da minuta padrão da AGU orienta que somente é cabível exigir atestados quando houver alguma atividade envolvida com o fornecimento do bem que justifique esse cuidado. Como exemplo, cita a hipótese de "uma logística complexa para entrega de bens em todo território nacional e cuja falta possa acarretar sérios danos à saúde das pessoas. Também pode ser citado como exemplo a montagem e a instalação de equipamentos sofisticados, que exige conhecimento especializado. De todo modo, os atestados se referem a um serviço associado ao bem e não ao bem em si".</w:t>
      </w:r>
    </w:p>
    <w:p>
      <w:r>
        <w:t>220. Recomenda-se fortemente a leitura atenta das notas explicativas da minuta padrão caso sejam feitas exigências de qualificação técnica, garantindo-se o pleno atendimento às disposições legais.</w:t>
      </w:r>
    </w:p>
    <w:p>
      <w:r>
        <w:t>221. Em relação à habilitação econômico-financeira, destaca-se que o art. 69 da Lei n. 14.133, de 2021, restringiu aos seguintes documentos: a) balanço patrimonial, demonstração de resultado de exercício e demais demonstrações contábeis dos 2 (dois) últimos exercícios sociais; e b) certidão negativa de feitos sobre falência expedida pelo distribuidor da sede do licitante.</w:t>
      </w:r>
    </w:p>
    <w:p>
      <w:r>
        <w:t>222. A Administração pode exigir capital mínimo ou de patrimônio líquido mínimo equivalente a até 10% (dez por cento) do valor estimado da contratação, caso se trate de compras para entrega futura. Entretanto, tais exigências não podem ser cumulativas e deve ser apresentada justificativa técnica (art. 69, §4°, da Lei n. 14.133, de 2021).</w:t>
      </w:r>
    </w:p>
    <w:p>
      <w:r>
        <w:t>223. A escolha do percentual acima indicado é discricionária da Administração, porém, deve ser proporcional aos riscos que a inexecução total ou parcial do contrato poderá acarretar, considerando-se, entre outros fatores, o valor do contrato, a essencialidade do objeto, o tempo de duração do contrato. Trata-se de exigência que tem potencial para restringir a competitividade do certame, pois, o percentual está atrelado ao valor total estimado da contratação. Assim, em casos de maior vulto, pode afastar a participação de microempresas ou empresas de pequeno porte, o que deve ser considerado na justificativa.</w:t>
      </w:r>
    </w:p>
    <w:p>
      <w:r>
        <w:t>224. Alerta-se: os requisitos de qualificação técnica e econômica devem ser adequados, necessários, suficientes e pertinentes ao objeto licitado, nos termos do Acórdão TCU n. 1417/2008 - Plenário.</w:t>
      </w:r>
    </w:p>
    <w:p>
      <w:r>
        <w:t>225. Importante: caso o licitante concorra em mais de um item, deve comprovar os requisitos de habilitação cumulativamente, isto é, somando as exigências do item em que venceu às do item em que estiver concorrendo, e assim sucessivamente, sob pena de inabilitação, além da aplicação das sanções cabíveis (Fonte: PARECER n.00003/2024/CNMLC/CGU/AGU, NUP 19973.002863/2024-28, Sapiens, seq. 13).</w:t>
      </w:r>
    </w:p>
    <w:p>
      <w:r>
        <w:t>226. Deve ser observado, ainda, o disposto no art. 70, inc. III, da Lei n. 14.133, de 2021, segundo o qual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 Registre-se que os valores são atualizados anualmente por Decreto, o que deve ser verificado pela Administração.</w:t>
      </w:r>
    </w:p>
    <w:p>
      <w:r>
        <w:t>Recomendação:</w:t>
      </w:r>
    </w:p>
    <w:p>
      <w:r>
        <w:t>227.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analisar os requisitos de habilitação constantes da minuta padrão e, se for o caso, excluir aqueles que sejam incompatíveis, excessivos ou que possam restringir a competitividade do certame; b. limitar as exigências às condições imprescindíveis para o satisfatório cumprimento do objeto licitado; c. somente exigir ato de autorização (habilitação jurídica) se houver fundamento em lei, especificando-se o documento a ser apresentado, o órgão competente para expedi-lo e o fundamento legal. Deve-se ter especial atenção a eventuais registros ou autorização de funcionamento exigidos legalmente, tendo em vista a natureza dos bens objeto da licitação; d. não excluir as exigências relativas à prova de regularidade com o FGTS e perante a Seguridade Social, nem a obrigação do art. 7o, inc. XXXIII, da CF; e. a qualificação técnica somente pode ser exigida se ficar comprovado que é medida indispensável à garantia do cumprimento das obrigações de execução do contrato;</w:t>
            </w:r>
          </w:p>
        </w:tc>
      </w:tr>
      <w:tr>
        <w:tc>
          <w:tcPr>
            <w:tcW w:type="dxa" w:w="8640"/>
          </w:tcPr>
          <w:p>
            <w:r>
              <w:t>f. em caso de exigência de qualificação técnica, deve ser apresentada justificativa, que avalie a medida com razoabilidade, sem exigências desnecessárias e restritivas ao caráter competitivo; g. em caso de exigência de qualificação técnica, recomenda-se fortemente a leitura atenta das notas explicativas da minuta padrão; h. caso sejam incluídos requisitos de habilitação econômico-financeira, observar que as exigências de capital mínimo ou de patrimônio líquido mínimo não podem ser cumulativas e deve haver justificativa, inclusive para a escolha do percentual; i. nas hipóteses do art. 70, III, da Lei n. 14.133, de 2021, justificar eventual exigência dos requisitos de qualificação econômico-financeira e qualificação técnica.</w:t>
            </w:r>
          </w:p>
        </w:tc>
      </w:tr>
    </w:tbl>
    <w:p/>
    <w:p>
      <w:r>
        <w:t>a. analisar os requisitos de habilitação constantes da minuta padrão e, se for o caso, excluir aqueles que sejam incompatíveis, excessivos ou que possam restringir a competitividade do certame;</w:t>
      </w:r>
    </w:p>
    <w:p>
      <w:r>
        <w:t>b. limitar as exigências às condições imprescindíveis para o satisfatório cumprimento do objeto licitado;</w:t>
      </w:r>
    </w:p>
    <w:p>
      <w:r>
        <w:t>c. somente exigir ato de autorização (habilitação jurídica) se houver fundamento em lei, especificando-se o documento a ser apresentado, o órgão competente para expedi-lo e o fundamento legal. Deve-se ter especial atenção a eventuais registros ou autorização de funcionamento exigidos legalmente, tendo em vista a natureza dos bens objeto da licitação;</w:t>
      </w:r>
    </w:p>
    <w:p>
      <w:r>
        <w:t>d. não excluir as exigências relativas à prova de regularidade com o FGTS e perante a Seguridade Social, nem a obrigação do art. 7o, inc. XXXIII, da CF;</w:t>
      </w:r>
    </w:p>
    <w:p>
      <w:r>
        <w:t>e. a qualificação técnica somente pode ser exigida se ficar comprovado que é medida indispensável à garantia do cumprimento das obrigações de execução do contrato;</w:t>
      </w:r>
    </w:p>
    <w:p>
      <w:r>
        <w:t>f. em caso de exigência de qualificação técnica, deve ser apresentada justificativa, que avalie a medida com razoabilidade, sem exigências desnecessárias e restritivas ao caráter competitivo;</w:t>
      </w:r>
    </w:p>
    <w:p>
      <w:r>
        <w:t>g. em caso de exigência de qualificação técnica, recomenda-se fortemente a leitura atenta das notas explicativas da minuta padrão;</w:t>
      </w:r>
    </w:p>
    <w:p>
      <w:r>
        <w:t>h. caso sejam incluídos requisitos de habilitação econômico-financeira, observar que as exigências de capital mínimo ou de patrimônio líquido mínimo não podem ser cumulativas e deve haver justificativa, inclusive para a escolha do percentual;</w:t>
      </w:r>
    </w:p>
    <w:p>
      <w:r>
        <w:t>i. nas hipóteses do art. 70, III, da Lei n. 14.133, de 2021, justificar eventual exigência dos requisitos de qualificação econômico-financeira e qualificação técnica.</w:t>
      </w:r>
    </w:p>
    <w:p>
      <w:r>
        <w:t>p) adequação orçamentária</w:t>
      </w:r>
    </w:p>
    <w:p>
      <w:r>
        <w:t>228. A indicação da disponibilidade orçamentária com a respectiva indicação da classificação funcional programática e da categoria econômica da despesa é uma imposição legal, conforme art. 10, inciso IX, da Lei n. 8.429, de 1992, e art. 105 da Lei n. 14.133, de 2021:</w:t>
      </w:r>
    </w:p>
    <w:p>
      <w:r>
        <w:t>Lei n. 8.429, de 1992</w:t>
      </w:r>
    </w:p>
    <w:p>
      <w:r>
        <w:t>Art. 10. Constitui ato de improbidade administrativa que causa lesão ao erário qualquer ação ou omissão dolosa, que enseje, efetiva e comprovadamente, perda patrimonial, desvio, apropriação, malbaratamento ou dilapidação dos bens ou haveres das entidades referidas no art. 1o desta Lei, e notadamente:</w:t>
      </w:r>
    </w:p>
    <w:p>
      <w:r>
        <w:t>[...]</w:t>
      </w:r>
    </w:p>
    <w:p>
      <w:r>
        <w:t>IX - ordenar ou permitir a realização de despesas não autorizadas em lei ou regulamento;</w:t>
      </w:r>
    </w:p>
    <w:p>
      <w:r>
        <w:t>Lei n. 14.133, de 2021</w:t>
      </w:r>
    </w:p>
    <w:p>
      <w:r>
        <w:t>Art. 105. A duração dos contratos regidos por esta Lei será a prevista em edital, e deverão ser observadas, no momento da contratação e a cada exercício financeiro, a disponibilidade de créditos orçamentários, bem como a previsão no plano plurianual, quando ultrapassar 1 (um) exercício financeiro, (g.n.)</w:t>
      </w:r>
    </w:p>
    <w:p>
      <w:r>
        <w:t>229. O art. 9°, inc. X, Instrução Normativa SEGES/ME n. 81, de 2022, determina que tal informação conste do Termo de Referência.</w:t>
      </w:r>
    </w:p>
    <w:p>
      <w:r>
        <w:t>230. Atenção: caso se trate de licitação destinada ao registro de preços, a indicação da disponibilidade de créditos orçamentários somente será exigida para a formalização do contrato ou do instrumento substitutivo (art. 17 do Decreto n. 11.462, de 2023).</w:t>
      </w:r>
    </w:p>
    <w:p>
      <w:r>
        <w:t>231. Alerta-se: é necessário juntar, antes da celebração do contrato administrativo, a nota de empenho suficiente para o suporte financeiro da respectiva despesa (art. 60 da Lei n. 4.320, de 1964).</w:t>
      </w:r>
    </w:p>
    <w:p>
      <w:r>
        <w:t>232. Se as despesas que amparam a ação forem qualificáveis como atividades, sendo, portanto, despesas rotineiras e ordinárias, é dispensado o atendimento das exigências do art. 16, I e II, da Lei Complementar n. 101, de 2000 (Orientação Normativa AGU n. 52, de 2014, e Conclusão DEPCONSU/PGF/AGU n. 01/2012).</w:t>
      </w:r>
    </w:p>
    <w:p>
      <w:r>
        <w:t>Recomendação:</w:t>
      </w:r>
    </w:p>
    <w:p>
      <w:r>
        <w:t>233.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juntar a declaração do setor competente acerca da previsão dos recursos orçamentários necessários para fazer face às despesas decorrentes da futura contratação, com a indicação da respectiva rubrica, como condição essencial ao prosseguimento da licitação; b. preencher o item do TR com todas as informações adequadas e pertinentes ao exercício financeiro da contratação; c. tratando-se de SRP, a indicação da dotação orçamentária pode ser deixada para o momento de assinatura do contrato ou instrumento equivalente; d. informar a natureza da ação orçamentária para, em seguida, manifestar se se trata de situação que reclama ou não o cumprimento do art. 16, incisos I e II, da Lei Complementar n. 101, de 2000, adotando as providências necessárias.</w:t>
            </w:r>
          </w:p>
        </w:tc>
      </w:tr>
    </w:tbl>
    <w:p/>
    <w:p>
      <w:r>
        <w:t>a. juntar a declaração do setor competente acerca da previsão dos recursos orçamentários necessários para fazer face às despesas decorrentes da futura contratação, com a indicação da respectiva rubrica, como condição essencial ao prosseguimento da licitação;</w:t>
      </w:r>
    </w:p>
    <w:p>
      <w:r>
        <w:t>b. preencher o item do TR com todas as informações adequadas e pertinentes ao exercício financeiro da contratação;</w:t>
      </w:r>
    </w:p>
    <w:p>
      <w:r>
        <w:t>c. tratando-se de SRP, a indicação da dotação orçamentária pode ser deixada para o momento de assinatura do contrato ou instrumento equivalente;</w:t>
      </w:r>
    </w:p>
    <w:p>
      <w:r>
        <w:t>d. informar a natureza da ação orçamentária para, em seguida, manifestar se se trata de situação que reclama ou não o cumprimento do art. 16, incisos I e II, da Lei Complementar n. 101, de 2000, adotando as providências necessárias.</w:t>
      </w:r>
    </w:p>
    <w:p>
      <w:r>
        <w:t>10. TRATAMENTO DIFERENCIADO ÀS ME, EPP E COOP</w:t>
      </w:r>
    </w:p>
    <w:p>
      <w:r>
        <w:t>234. A Lei Complementar n. 123, de 2006, estabelece normas gerais relativas ao tratamento favorecido, diferenciado e simplificado a ser dispensado às microempresas (ME) e empresas de pequeno porte (EPP), tendo o Decreto n. 8.538, de 2015, regulamentado a matéria.</w:t>
      </w:r>
    </w:p>
    <w:p>
      <w:r>
        <w:t>235. As disposições do referido Decreto se aplicam também ao agricultor familiar, produtor rural pessoa física, microempreendedor individual - MEI e sociedades cooperativas equiparadas (COOP), assim consideradas aquelas com receita bruta equivalente à das empresas de pequeno porte (art. 34 da Lei n. 11.488, de 2007).</w:t>
      </w:r>
    </w:p>
    <w:p>
      <w:r>
        <w:t>236. Sobre os benefícios concedidos pela lei e decreto, é importante apresentar algumas considerações.</w:t>
      </w:r>
    </w:p>
    <w:p>
      <w:r>
        <w:t>10.1 Licitação exclusiva</w:t>
      </w:r>
    </w:p>
    <w:p>
      <w:r>
        <w:t>237. O art. 6° do Decreto n. 8.538, de 2015, estabelece que o processo licitatório deve ser destinado exclusivamente à participação de ME, EPP e COOP nos itens ou lotes de licitação cujo valor seja de até R$ 80.000,00 (oitenta mil reais).</w:t>
      </w:r>
    </w:p>
    <w:p>
      <w:r>
        <w:t>238. Atenção: nas contratações com prazo de vigência superior a 1 (um) ano, será considerado o valor anual do contrato para aplicação da exclusividade (art. 4°, § 3°, da Lei n. 14.133, de 2021).</w:t>
      </w:r>
    </w:p>
    <w:p>
      <w:r>
        <w:t>10.2 Cota reservada</w:t>
      </w:r>
    </w:p>
    <w:p>
      <w:r>
        <w:t>239. O art. 8° do Decreto n. 8.538, de 2015, prevê que, nas licitações com objeto divisível, quando os itens ou lotes de licitação possuírem valor estimado superior a R$80.000,00 (oitenta mil reais), deverá ser reservada cota de até vinte e cinco por cento do objeto para a contratação de ME e EPP, salvo se houver prejuízo para a contratação do conjunto ou do complexo do objeto, devidamente justificado.</w:t>
      </w:r>
    </w:p>
    <w:p>
      <w:r>
        <w:t>240. O art. 8°, § 2°, do Decreto determina que o edital deverá prever que, se não houver vencedor para a cota reservada, esta poderá ser adjudicada ao vencedor da cota principal, ou, diante de sua recusa, aos licitantes remanescentes, desde que pratiquem o preço do primeiro colocado.</w:t>
      </w:r>
    </w:p>
    <w:p>
      <w:r>
        <w:t>241. Se a mesma empresa vencer a cota reservada e a principal (do mesmo item da licitação), a contratação das cotas deverá ocorrer pelo menor preço (art. 8°, § 3°).</w:t>
      </w:r>
    </w:p>
    <w:p>
      <w:r>
        <w:t>242. Registre-se o entendimento vinculante da Advocacia-Geral da União no sentido de que as cotas reservadas de até 25% podem ultrapassar o valor de R$ 80.000,00 (oitenta mil reais), conforme Despacho n. 00098/2021/DECOR/CGU/AGU, aprovado pelo Advogado- Geral da União por meio do Despacho do Advogado-Geral da União n. 071, de 17 de março de 2021 (NUP 25000.193248/2018-73, seq. 24 a 27 do Sapiens).</w:t>
      </w:r>
    </w:p>
    <w:p>
      <w:r>
        <w:t>10.3 Afastamento da exclusividade da licitação e da cota reservada</w:t>
      </w:r>
    </w:p>
    <w:p>
      <w:r>
        <w:t>243. O tratamento diferenciado poderá ser afastado, nas hipóteses do art. 10 do Decreto n. 8.538, de 2015, mediante justificativa:</w:t>
      </w:r>
    </w:p>
    <w:p>
      <w:r>
        <w:t>Art. 10. Não se aplica o disposto nos art. 6° ao art. 8° quando:</w:t>
      </w:r>
    </w:p>
    <w:p>
      <w:r>
        <w:t>I - não houver o mínimo de três fornecedores competitivos enquadrados como microempresas ou empresas de pequeno porte sediadas local ou regionalmente e capazes de cumprir as exigências estabelecidas no instrumento convocatório;</w:t>
      </w:r>
    </w:p>
    <w:p>
      <w:r>
        <w:t>II - o tratamento diferenciado e simplificado para as microempresas e as empresas de pequeno porte não for vantajoso para a administração pública ou representar prejuízo ao conjunto ou ao complexo do objeto a ser contratado, justificadamente;</w:t>
      </w:r>
    </w:p>
    <w:p>
      <w:r>
        <w:t>III - a licitação for dispensável ou inexigível, nos termos dos arts. 24 e 25 da Lei n. 8.666. de 1993 , excetuadas as dispensas tratadas pelos incisos I e II do caput do referido art. 24, nas quais a compra deverá ser feita preferencialmente por microempresas e empresas de pequeno porte, observados, no que couber, os incisos I, II e IV do caput deste artigo; ou</w:t>
      </w:r>
    </w:p>
    <w:p>
      <w:r>
        <w:t>IV - o tratamento diferenciado e simplificado não for capaz de alcançar, justificadamente, pelo menos um dos objetivos previstos no art. 1°.</w:t>
      </w:r>
    </w:p>
    <w:p>
      <w:r>
        <w:t>Parágrafo único. Para o disposto no inciso II do caput, considera-se não vantajosa a contratação quando:</w:t>
      </w:r>
    </w:p>
    <w:p>
      <w:r>
        <w:t>I - resultar em preço superior ao valor estabelecido como referência; ou</w:t>
      </w:r>
    </w:p>
    <w:p>
      <w:r>
        <w:t>II - a natureza do bem, serviço ou obra for incompatível com a aplicação dos benefícios.</w:t>
      </w:r>
    </w:p>
    <w:p>
      <w:r>
        <w:t>244. Atenção: as hipóteses do art. 10 do Decreto n. 8.538, de 2015, são taxativas e não podem ser ampliadas.</w:t>
      </w:r>
    </w:p>
    <w:p>
      <w:r>
        <w:t>Recomendação:</w:t>
      </w:r>
    </w:p>
    <w:p>
      <w:r>
        <w:t>245.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analisar a incidência do tratamento diferenciado às ME, EPP e COOP, nos temos do Decreto n. 8.538, de 2015; b. destinar o certame à participação exclusiva de ME, EPP e COOP, caso o valor da contratação não ultrapasse R$ 80.000,00; c. destinar o item ou grupo/lote, cujo valor não ultrapasse R$80.000,00, à participação exclusiva de ME, EPP e COOP; d. nos itens ou grupo/lote que ultrapasse o valor de R$80.000,00, prever cota reservada de até 25%, para participação exclusiva de ME, EPP e COOP; e. justificar eventual afastamento dos benefícios da licitação exclusiva ou cota reservada, com fundamento nas hipóteses taxativas do art. 10 do Decreto n. 8.538, de 2015.</w:t>
            </w:r>
          </w:p>
        </w:tc>
      </w:tr>
    </w:tbl>
    <w:p/>
    <w:p>
      <w:r>
        <w:t>a. analisar a incidência do tratamento diferenciado às ME, EPP e COOP, nos temos do Decreto n. 8.538, de 2015;</w:t>
      </w:r>
    </w:p>
    <w:p>
      <w:r>
        <w:t>b. destinar o certame à participação exclusiva de ME, EPP e COOP, caso o valor da contratação não ultrapasse R$ 80.000,00;</w:t>
      </w:r>
    </w:p>
    <w:p>
      <w:r>
        <w:t>c. destinar o item ou grupo/lote, cujo valor não ultrapasse R$80.000,00, à participação exclusiva de ME, EPP e COOP;</w:t>
      </w:r>
    </w:p>
    <w:p>
      <w:r>
        <w:t>d. nos itens ou grupo/lote que ultrapasse o valor de R$80.000,00, prever cota reservada de até 25%, para participação exclusiva de ME, EPP e COOP;</w:t>
      </w:r>
    </w:p>
    <w:p>
      <w:r>
        <w:t>e. justificar eventual afastamento dos benefícios da licitação exclusiva ou cota reservada, com fundamento nas hipóteses taxativas do art. 10 do Decreto n. 8.538, de 2015.</w:t>
      </w:r>
    </w:p>
    <w:p>
      <w:r>
        <w:t>246. Registre-se que há, ainda, previsão facultativa de estabelecimento, nos instrumentos convocatórios:</w:t>
      </w:r>
    </w:p>
    <w:p>
      <w:r>
        <w:t> de exigência de subcontratação de ME e EPP nos termos do art. 7° do Decreto n. 8.538, de 2015;</w:t>
      </w:r>
    </w:p>
    <w:p>
      <w:r>
        <w:t> de prioridade de contratação de ME e EPP sediadas local ou regionalmente, até o limite de dez por cento do melhor preço válido nos termos do art. 9o, II, do Decreto n. 8.538, de 2015.</w:t>
      </w:r>
    </w:p>
    <w:p>
      <w:r>
        <w:t>11. MINUTAS PADRONIZADAS DE EDITAL, ATA DE REGISTRO DE PREÇO E CONTRATO</w:t>
      </w:r>
    </w:p>
    <w:p>
      <w:r>
        <w:t>247. Os requisitos e elementos a serem contemplados na minuta de edital são aqueles previstos no art. 25, caput, da Lei n. 14.133, de 2021, com as devidas adaptações às especificidades de cada contratação.</w:t>
      </w:r>
    </w:p>
    <w:p>
      <w:r>
        <w:t>248. Alerta-se: a utilização do presente parecer referencial pressupõe a utilização das minutas padronizadas de edital e contrato e, se for o caso, ata de registro de preços, disponibilizadas pela Advocacia-Geral da União, em sua versão mais atualizada.</w:t>
      </w:r>
    </w:p>
    <w:p>
      <w:r>
        <w:t>249. Assim, não sendo utilizada a minuta padronizada da AGU, o processo deverá ser encaminhado para análise jurídica individualizada, a cargo da Procuradoria local (art. 2° da Portaria Normativa PGF/AGU n. 73, de 24 de março de 2025).</w:t>
      </w:r>
    </w:p>
    <w:p>
      <w:r>
        <w:t>11.1 Da minuta de edital</w:t>
      </w:r>
    </w:p>
    <w:p>
      <w:r>
        <w:t>250. Sobre o conteúdo da minuta de edital, merecem destaques os pontos a seguir.</w:t>
      </w:r>
    </w:p>
    <w:p>
      <w:r>
        <w:t>a) das restrições à participação</w:t>
      </w:r>
    </w:p>
    <w:p>
      <w:r>
        <w:t>251. No tópico "Da Participação na Licitação", a Administração deve ter especial cautela no item relativo às vedações de participação, mantendo a redação da minuta padrão nas partes não editáveis e justificando eventual vedação à participação de cooperativas e consórcios.</w:t>
      </w:r>
    </w:p>
    <w:p>
      <w:r>
        <w:t>252. Alerta-se: a respeito das cooperativas, admite-se a vedação de participação apenas nas hipóteses de contratação de serviços com dedicação exclusiva de mão de obra, que não se enquadrem nas permissões do art. 10 da IN SEGES/MP n. 5, de 2017. Portanto, nas aquisições deve ser excluído o subitem da minuta padrão (redação em vermelho) que veda a participação das sociedades cooperativas, sob pena de ferir a competitividade do certame.</w:t>
      </w:r>
    </w:p>
    <w:p>
      <w:r>
        <w:t>253. Em relação aos consórcios, a vedação à participação é excepcional e deve ser justificada pela Administração, nos termos do art. 15 da Lei n. 14.133, de 2021.</w:t>
      </w:r>
    </w:p>
    <w:p>
      <w:r>
        <w:t>254. É vedado ao agente público admitir, prever, incluir ou tolerar situações que comprometam, restrinjam ou frustrem o caráter competitivo do processo licitatório, inclusive nos casos de participação de cooperativas. Não é permitido, também, estabelecer preferências ou distinções em razão da naturalidade, da sede ou do domicílio dos licitantes ou, ainda, a inclusão de regras que sejam impertinentes ou irrelevantes para o objeto específico do contrato (art. 9°, inciso I, da Lei n. 14.133, de 2021).</w:t>
      </w:r>
    </w:p>
    <w:p>
      <w:r>
        <w:t>255. O agente público também não poderá estabelecer tratamento diferenciado de natureza comercial, legal, trabalhista, previdenciária ou qualquer outra entre empresas brasileiras e estrangeiras, inclusive no que se refere a moeda, modalidade e local de pagamento, mesmo quando envolvido financiamento de agência internacional (art. 9o, inciso II, da Lei n. 14.133, de 2021).</w:t>
      </w:r>
    </w:p>
    <w:p>
      <w:r>
        <w:t>b) modo de disputa</w:t>
      </w:r>
    </w:p>
    <w:p>
      <w:r>
        <w:t>256. A minuta padrão traz todas as previsões relacionadas ao modo de disputa escolhido pela Administração, em atuação discricionária. Entretanto, é necessário observar que a utilização isolada do modo de disputa fechado é vedada quando adotado o critério de julgamento de menor preço (art. 56, § 1°, da Lei n. 14.133, de 2021).</w:t>
      </w:r>
    </w:p>
    <w:p>
      <w:r>
        <w:t>Recomendação:</w:t>
      </w:r>
    </w:p>
    <w:p>
      <w:r>
        <w:t>257.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permitir a participação de cooperativas na licitação, por se tratar de aquisição; b. justificar eventual vedação à participação de consórcios; c. não utilizar o modo de disputa fechado de forma isolada no presente caso.</w:t>
            </w:r>
          </w:p>
        </w:tc>
      </w:tr>
    </w:tbl>
    <w:p/>
    <w:p>
      <w:r>
        <w:t>a. permitir a participação de cooperativas na licitação, por se tratar de aquisição;</w:t>
      </w:r>
    </w:p>
    <w:p>
      <w:r>
        <w:t>b. justificar eventual vedação à participação de consórcios;</w:t>
      </w:r>
    </w:p>
    <w:p>
      <w:r>
        <w:t>c. não utilizar o modo de disputa fechado de forma isolada no presente caso.</w:t>
      </w:r>
    </w:p>
    <w:p>
      <w:r>
        <w:t>11.2 Da minuta de ata de registro de preços</w:t>
      </w:r>
    </w:p>
    <w:p>
      <w:r>
        <w:t>258. A minuta de Ata de Registro de Preços (ARP) deve ser utilizada sempre que a licitação for processada sob o Sistema de Registra de Preços.</w:t>
      </w:r>
    </w:p>
    <w:p>
      <w:r>
        <w:t>259. Atenção: a ata de registra de preços é documento diferente do contrato e não o substitui. Assim, sempre que adotado o SRP, a Administração deverá providenciar a minuta de ata de registro de preços e a minuta de contrato, salvo, nesse último caso, se houver substituição por instrumento equivalente, nos termos da lei.</w:t>
      </w:r>
    </w:p>
    <w:p>
      <w:r>
        <w:t>260. A minuta padrão da AGU traz todos os elementos necessários e suficientes da ARP, devendo ser respeitada integralmente. Destacam-se os seguintes pontos:</w:t>
      </w:r>
    </w:p>
    <w:p>
      <w:r>
        <w:t>a) vigência da ata</w:t>
      </w:r>
    </w:p>
    <w:p>
      <w:r>
        <w:t>261. O prazo inicial de vigência da ata de registro de preços é necessariamente de 1 (um) ano, contado do primeiro dia útil subsequente à data de sua divulgação no Portal Nacional de Contratações Públicas (PNCP), podendo ocorrer a prorrogação da vigência da ata para o período de mais de um ano, desde que comprovado o preço vantajoso (art. 84 da Lei n.</w:t>
      </w:r>
    </w:p>
    <w:p>
      <w:r>
        <w:t>14.133, de 2021, c/c o art. 22 do Decreto n. 11.462, de 2023, e Orientação Normativa AGU n. 89, de 2024).</w:t>
      </w:r>
    </w:p>
    <w:p>
      <w:r>
        <w:t>262. Alerta-se: não é possível estabelecer prazo de vigência diferente de um ano, nem marco inicial da vigência diferente do primeiro dia útil subsequente à data de sua divulgação no PNCP, pois a lei é expressa a respeito do tema.</w:t>
      </w:r>
    </w:p>
    <w:p>
      <w:r>
        <w:t>263. Atenção: conforme tratado anteriormente neste parecer, a validade da ata de registro de preços não se confunde com vigência da contratação, uma vez que ata e contrato são institutos diversos. O contrato deriva da ata e deve ser celebrado durante sua validade, porém, tem vigência própria. A ata de registro de preços não substitui o contrato.</w:t>
      </w:r>
    </w:p>
    <w:p>
      <w:r>
        <w:t>264. É indispensável que a possibilidade de prorrogação da ata esteja expressamente prevista (art. 15, IX, do Decreto n. 11.462, de 2023).</w:t>
      </w:r>
    </w:p>
    <w:p>
      <w:r>
        <w:t>b) adesão à ata de registro de preços</w:t>
      </w:r>
    </w:p>
    <w:p>
      <w:r>
        <w:t>265. A regra geral é que a ata de registro de preços poderá ser utilizada por órgãos ou entidades não participantes, desde que observados os requisitos do art. 86, § 2o, da Lei n. 14.133, de 2021, c/c art. 31 do Decreto n. 11.462, de 2023. É o procedimento chamado de "adesão" ou "carona". Frise-se que tal procedimento não é objeto deste parecer referencial.</w:t>
      </w:r>
    </w:p>
    <w:p>
      <w:r>
        <w:t>266. Excepcionalmente, poderá ser vedada a adesão à ARP, mediante justificativa adequada. Destaca-se que a vedação da adesão pode ter como fundamento o art. 7o, I e XI, do Decreto n. 11.462, de 2023, em razão da capacidade de gerenciamento do gerenciador.</w:t>
      </w:r>
    </w:p>
    <w:p>
      <w:r>
        <w:t>267. Há expressa vedação da participação de outro órgão ou entidade na ata na hipótese do art. 4° do Decreto n. 11.462, de 2023, quando há registro de preços com indicação limitada a unidades de contratação, sem indicação do total a ser adquirido (art. 82, § 4°, da Lei n. 14.133/2021 e artigo 4°, parágrafo único, do Decreto n. 11.462, de 2023).</w:t>
      </w:r>
    </w:p>
    <w:p>
      <w:r>
        <w:t>c) renovação dos quantitativos</w:t>
      </w:r>
    </w:p>
    <w:p>
      <w:r>
        <w:t>268. No âmbito da Advocacia-Geral da União foi firmado o entendimento de que é possível a renovação dos quantitativos inicialmente registrados na ata no caso de sua prorrogação, desde que cumpridos os requisitos estabelecidos no PARECER n. 00015/2024/CPLC/SUBCONSU/PGF/AGU e no PARECER n. 00075/2024/DECOR/CGU/AGU (NUP 71000.062490/2024-61, seq. 58 e 61, respectivamente).</w:t>
      </w:r>
    </w:p>
    <w:p>
      <w:r>
        <w:t>269. Para tanto, a Administração deve analisar, na fase de planejamento da licitação, a possibilidade de renovação dos quantitativos em caso de prorrogação de vigência da Ata, bem como incluir expressa previsão no edital e na ata, tudo conforme o entendimento exposto nos pareceres acima indicados. A propósito, o tema encontra-se abordado no item 5 do Parecer Referencial n. 00005/2025/GERTEC/ELIC/PGF/AGU (NUP 00407.059564/2025-42, seq. 5, do Sapiens).</w:t>
      </w:r>
    </w:p>
    <w:p>
      <w:r>
        <w:t>Recomendação:</w:t>
      </w:r>
    </w:p>
    <w:p>
      <w:r>
        <w:t>270.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estabelecer a vigência da ata de registro de preços em1 (um) ano, contado do primeiro dia útil subsequente à data de sua divulgação no PNCP, necessariamente; b. justificar eventual vedação à adesão de entidades não participantes à ARP; c. vedar a participação de outro órgão, caso se trate da hipótese do art. 82, § 3o, da Lei n. 14.133, de 2021; d. analisar a possibilidade de renovação dos quantitativos inicialmente registrados em caso de prorrogação da ARP, documentando nos autos; e. prever expressamente no edital e ata a possibilidade de renovação dos quantitativos, se for o caso.</w:t>
            </w:r>
          </w:p>
        </w:tc>
      </w:tr>
    </w:tbl>
    <w:p/>
    <w:p>
      <w:r>
        <w:t>a. estabelecer a vigência da ata de registro de preços em1 (um) ano, contado do primeiro dia útil subsequente à data de sua divulgação no PNCP, necessariamente;</w:t>
      </w:r>
    </w:p>
    <w:p>
      <w:r>
        <w:t>b. justificar eventual vedação à adesão de entidades não participantes à ARP;</w:t>
      </w:r>
    </w:p>
    <w:p>
      <w:r>
        <w:t>c. vedar a participação de outro órgão, caso se trate da hipótese do art. 82, § 3o, da Lei n. 14.133, de 2021;</w:t>
      </w:r>
    </w:p>
    <w:p>
      <w:r>
        <w:t>d. analisar a possibilidade de renovação dos quantitativos inicialmente registrados em caso de prorrogação da ARP, documentando nos autos;</w:t>
      </w:r>
    </w:p>
    <w:p>
      <w:r>
        <w:t>e. prever expressamente no edital e ata a possibilidade de renovação dos quantitativos, se for o caso.</w:t>
      </w:r>
    </w:p>
    <w:p>
      <w:r>
        <w:t>11.3 Da minuta de contrato</w:t>
      </w:r>
    </w:p>
    <w:p>
      <w:r>
        <w:t>a) substituição do termo de contrato por instrumento equivalente</w:t>
      </w:r>
    </w:p>
    <w:p>
      <w:r>
        <w:t>271. É possível a substituição do termo de contrato por instrumento equivalente (carta- contrato, nota de empenho de despesa, autorização de compra ou ordem de execução de serviço) em duas hipóteses:</w:t>
      </w:r>
    </w:p>
    <w:p>
      <w:r>
        <w:t> nos casos de compras com entrega imediata e integral dos bens adquiridos, das quais não resultem obrigações futuras, inclusive quanto à assistência técnica, independentemente de seu valor (art. 95, II, da Lei n. 14.133, de 2021); e,</w:t>
      </w:r>
    </w:p>
    <w:p>
      <w:r>
        <w:t> sempre que o valor do contrato se encaixe no valor atualizado que autoriza a dispensa de licitação prevista no inciso II do art. 75, da Lei n. 14.133, de 2021, nos termos do art. 95, I, da Lei n. 14.133, de 2021 (Orientação Normativa AGU n. 84, de 2024).</w:t>
      </w:r>
    </w:p>
    <w:p>
      <w:r>
        <w:t>272. Atenção: entende-se como entrega imediata aquela que ocorre no prazo máximo de 30 (trinta) dias da ordem de fornecimento (art. 6°, X, da Lei n. 14.133, de 2021).</w:t>
      </w:r>
    </w:p>
    <w:p>
      <w:r>
        <w:t>273. O art. 95, § 1°, da Lei n. 14.133, de 2021, determina que o instrumento substitutivo deverá conter as cláusulas elencadas no art. 92 da Lei, no que couber, de forma que preveja as condições essenciais que regerão a execução contratual, como, por exemplo, a descrição precisa do objeto, as obrigações e responsabilidades das partes, a vinculação ao edital e à proposta ofertada, os prazos de execução, forma e prazo de pagamento, sanções, entre outras.</w:t>
      </w:r>
    </w:p>
    <w:p>
      <w:r>
        <w:t>274. A minuta padronizada de Termo de Referência da AGU traz, no Anexo I, as regras aplicáveis ao instrumento substitutivo ao contrato. Assim, sempre que houver substituição do termo de contrato, tal Anexo deve ser utilizado. Deverá, ainda, ser utilizado o Anexo II do TR, que traz uma minuta de Termo de Ciência e Concordância do contratado com as regras e obrigações da contratação previstas no Termo de Referência e em seu Anexo I.</w:t>
      </w:r>
    </w:p>
    <w:p>
      <w:r>
        <w:t>275. Registre-se que, nas licitações por itens ou grupos, a Administração pode utilizar o instrumento contratual para alguns itens/grupo e instrumento substitutivo para outros, desde que apresente justificativa e que tal opção esteja clara e expressa na fase de planejamento, comprovando-se nos autos.</w:t>
      </w:r>
    </w:p>
    <w:p>
      <w:r>
        <w:t>b) vigência e extinção contratual</w:t>
      </w:r>
    </w:p>
    <w:p>
      <w:r>
        <w:t>276. Quanto à minuta de contrato, destaca-se a necessidade da adoção da redação adequada das Cláusulas de vigência e de extinção contratual, que devem estar em consonância com a natureza da contratação, se de escopo (art. 105 da Lei n. 14.133, de 2021) ou fornecimento contínuo (arts. 106 e 107 da Lei n. 14.133, de 2021), conforme tratado anteriormente neste parecer.</w:t>
      </w:r>
    </w:p>
    <w:p>
      <w:r>
        <w:t>277. Atenção: sobre a vigência dos contratos de escopo, deve ser mantida a redação da minuta padrão, que está de acordo com o art. 111 da Lei n. 14.133, de 2021.</w:t>
      </w:r>
    </w:p>
    <w:p>
      <w:r>
        <w:t>278. Alerta-se: nos contratos de escopo, caso a vigência extrapole o exercício financeiro em curso, somente será possível a contratação se o objeto contiver produto previsto nas metas do Plano Plurianual (art. 105 da Lei n. 14.133, de 2021) -devendo haver a comprovação nos autos desse fato -, ou, se todo o empenho necessário à execução contratual for realizado até o dia 31 de dezembro do ano da conclusão da licitação.</w:t>
      </w:r>
    </w:p>
    <w:p>
      <w:r>
        <w:t>c) fornecimento acompanhado de comodato</w:t>
      </w:r>
    </w:p>
    <w:p>
      <w:r>
        <w:t>279. Se o objeto contemplar o fornecimento de água mineral em garrafões retornáveis, haverá comodato desses vasilhames, de forma que algumas cautelas devem ser observadas.</w:t>
      </w:r>
    </w:p>
    <w:p>
      <w:r>
        <w:t>280. O comodato é um tipo de empréstimo. Uma parte (comodante) cede um bem não substituível à outra parte (comodatário), que deverá devolvê-lo nas mesmas condições de uso em que foi emprestado. A gratuidade é o caráter distintivo do comodato em relação à locação (arts. 579 e seguintes do Código Civil Brasileiro - CC).</w:t>
      </w:r>
    </w:p>
    <w:p>
      <w:r>
        <w:t>281. Apesar do comodato ser a título gratuito, o comodatário tem obrigações específicas vinculadas ao objeto do comodato, dentre elas, conservar o bem recebido (art. 582, CC). Tem o dever de zelo e de conservação do bom estado da coisa, devendo atuar como proprietário, para que possa restituir no mesmo estado de conservação em que recebeu.</w:t>
      </w:r>
    </w:p>
    <w:p>
      <w:r>
        <w:t>282. O art. 40, da Lei n. 14.133, de 2021 determina que " o planejamento de compras deverá considerar a expectativa de consumo anual e observar (...) I - condições de aquisição e pagamento semelhantes às do setor privado". Assim, deve ser observada a prática regular do mercado.</w:t>
      </w:r>
    </w:p>
    <w:p>
      <w:r>
        <w:t>283. Alerta-se: considerando a possibilidade de o licitante embutir no preço dos insumos adquiridos como obrigação principal, o custo do comodato, recomenda-se que a Administração certifique-se de que será assegurada a gratuidade do comodato.</w:t>
      </w:r>
    </w:p>
    <w:p>
      <w:r>
        <w:t>284. Nesses termos, se o objeto da licitação incluir fornecimento de galões de água, a título de comodato, com a mera obrigação de conservar a coisa como se fosse sua e usá-la de acordo com sua natureza, o ente assessorado deverá:</w:t>
      </w:r>
    </w:p>
    <w:p>
      <w:r>
        <w:t>° inserir as seguintes previsões na Cláusulas Oitava da minuta padrão de contrato da AGU:</w:t>
      </w:r>
    </w:p>
    <w:p>
      <w:r>
        <w:t>CLÁUSULA OITAVA - OBRIGAÇÕES DO CONTRATANTE (...)</w:t>
      </w:r>
    </w:p>
    <w:p>
      <w:r>
        <w:t>X.X. Receber a água mineral sem gás em galões de 20 litros, os quais serão cedidos em comodato nos termos dos artigos 579 a 585 do Código Civil.</w:t>
      </w:r>
    </w:p>
    <w:p>
      <w:r>
        <w:t>X.X.1. Comprometer-se a conservar os galões, devendo cuidar para que somente sejam utilizados para a finalidade estipulada no termo de referência e neste instrumento, não podendo vender, caucionar, ceder, onerar ou de qualquer forma alienar os galões cedido(s) ou alugar a terceiros.</w:t>
      </w:r>
    </w:p>
    <w:p>
      <w:r>
        <w:t>X.X.2. Não efetuar qualquer tipo de reparo nos garrafões, bem como toda e qualquer manutenção que se fizer necessária, que ficarão a cargo do contratado.</w:t>
      </w:r>
    </w:p>
    <w:p>
      <w:r>
        <w:t>X.X.3. O comodato terá vigência idêntica à do contrato, ou enquanto permanecerem em estoque os produtos adquiridos, até seu total esgotamento.</w:t>
      </w:r>
    </w:p>
    <w:p>
      <w:r>
        <w:t>X.X.4. Esgotando-se o conteúdo dos galões, o contratado será comunicado via e-mail para que retire os vasilhames vazios, no prazo de 10 dias úteis do envio da comunicação, sob pena de a Administração dar-lhes fim adequado, nada podendo o contratado reclamar e não cabendo qualquer tipo de indenização.</w:t>
      </w:r>
    </w:p>
    <w:p>
      <w:r>
        <w:t>° inserir as seguintes previsões na Cláusulas Oitava da minuta padrão de contrato da AGU:</w:t>
      </w:r>
    </w:p>
    <w:p>
      <w:r>
        <w:t>CLÁUSULA NONA - OBRIGAÇÕES DO CONTRATADO (...)</w:t>
      </w:r>
    </w:p>
    <w:p>
      <w:r>
        <w:t>X.X. Rara o fornecimento de água mineral, natural, sem gás, o contratado se obriga a disponibilizar galões (vasilhames) de água mineral, com capacidade para 20 (vinte) litros, de sua propriedade, em regime de comodato, nos termos do que dispõem os artigos 579 a 585 do Código Civil.</w:t>
      </w:r>
    </w:p>
    <w:p>
      <w:r>
        <w:t>X.X.1. Os galões fornecidos devem obedecer a todos os requisitos legais incidentes, tais como as especificações da PARECER - Orientação 8 (2772357) SEI 15414.633051/2025-94 / pg. 35 ANVISA, a Resolução RDC n° 173, de 2006, as normas ABNT NBR n° 14.222/2019, a Portaria MME n° 470, de 1999, requisitos e métodos de ensaio e NBR n° 15.395/2006, Portaria DNPM n° 387, de 2008 e ABNT NBR n° 14.222/2013.</w:t>
      </w:r>
    </w:p>
    <w:p>
      <w:r>
        <w:t>X.X.2. Em atendimento à legislação própria, o garrafão deve possuir lacre de segurança, aparência limpa, isenta de manchas, alterações de cor, ranhuras, rachaduras, emendas e amassamentos, bem como não poderá possuir nenhum tipo de resíduos e odores. O gargalo não poderá possuir qualquer tipo de deformações internas ou externas. Ademais, os referidos galões devem estar dentro de seu prazo de validade, que é de até 3 (três) anos, nos termos do inciso I do art. 5° da Portaria DNPM n° 387, de 2008.</w:t>
      </w:r>
    </w:p>
    <w:p>
      <w:r>
        <w:t>X.X.3. O contratado empresta, a título gratuito, os galões compatíveis com o solicitado no edital e seus anexos, conforme necessidade do contratante, que serão utilizados para fornecimento de água mineral, natural, sem gás, nas quantidades indicadas no Termo de Referência, anexo do Contrato.</w:t>
      </w:r>
    </w:p>
    <w:p>
      <w:r>
        <w:t>X.X.4. Após o término do contrato, ou após o completo esgotamento do conteúdo, os galões deverão ser retirados pelo contratado, no prazo de no prazo de 10 dias úteis, contados da notificação enviada por e-mail pelo contratante.</w:t>
      </w:r>
    </w:p>
    <w:p>
      <w:r>
        <w:t>X.X.5. Se os galões não forem retirados no prazo acordado, mesmo após notificado, a Administração dará destino adequado aos vasilhames, nada podendo o contratado reclamar a título de indenização.</w:t>
      </w:r>
    </w:p>
    <w:p>
      <w:r>
        <w:t>d) aplicação da Lei n. 13.709, de 2018 (LGPD)</w:t>
      </w:r>
    </w:p>
    <w:p>
      <w:r>
        <w:t>285. A Lei n. 13.709, de 2018, (LGPD) dispõe sobre o tratamento de dados pessoais, inclusive nos meios digitais, por pessoa natural ou por pessoa jurídica de direito público ou privado, com o objetivo de proteger os direitos fundamentais de liberdade e de privacidade e o livre desenvolvimento da personalidade da pessoa natural.</w:t>
      </w:r>
    </w:p>
    <w:p>
      <w:r>
        <w:t>286. A Administração deve observar o disposto no PARECER n.00004/2022/CNMLC/CGU/AGU, que trata da aplicação da Lei Geral de Proteção de Dados nos modelos de licitação e contratos.</w:t>
      </w:r>
    </w:p>
    <w:p>
      <w:r>
        <w:t>O parecer fixou o entendimento de que, nos contratos administrativos,</w:t>
      </w:r>
    </w:p>
    <w:p>
      <w:r>
        <w:t>[...] não constem os números de documentos pessoais das pessoas naturais que irão assiná-los, como ocorre normalmente com os representantes da Administração e da empresa contratada.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 8.666, de 1993, e o §1° do art. 89 da Lei n. 14.133, de 1o de abril de 2021, exigem apenas esse dado.</w:t>
      </w:r>
    </w:p>
    <w:p>
      <w:r>
        <w:t>Recomendação:</w:t>
      </w:r>
    </w:p>
    <w:p>
      <w:r>
        <w:t>287.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1. definir e justificar a eventual opção pela substituição do contrato por instrumento equivalente; 2. certificar que se trata de hipótese permitida de substituição do contrato; 3. manter os Anexos I e II do TR, caso opte pela substituição do instrumento contratual; 4. atentar para a redação adequada das cláusulas de vigência e extinção contratual, de acordo com a natureza da contratação; 5. manter a redação da minuta padrão em relação à vigência dos contratos de escopo;</w:t>
            </w:r>
          </w:p>
        </w:tc>
      </w:tr>
      <w:tr>
        <w:tc>
          <w:tcPr>
            <w:tcW w:type="dxa" w:w="8640"/>
          </w:tcPr>
          <w:p>
            <w:r>
              <w:t>6. comprovar que o objeto está previsto nas metas do Plano Plurianual ou que todo o empenho necessário à execução contratual será realizado até o dia 31 de dezembro do ano da conclusão da licitação, nos casos em que a vigência do contrato de escopo extrapole o exercício financeiro; 7. inserir as previsões relacionadas ao comodato, caso se trate de fornecimento de água mineral em garrafões retornáveis, conforme previsto no item 284, deste parecer; 8. observar o entendimento quanto à aplicação da LGPD, acima exposto.</w:t>
            </w:r>
          </w:p>
        </w:tc>
      </w:tr>
    </w:tbl>
    <w:p/>
    <w:p>
      <w:r>
        <w:t>1. definir e justificar a eventual opção pela substituição do contrato por instrumento equivalente;</w:t>
      </w:r>
    </w:p>
    <w:p>
      <w:r>
        <w:t>2. certificar que se trata de hipótese permitida de substituição do contrato;</w:t>
      </w:r>
    </w:p>
    <w:p>
      <w:r>
        <w:t>3. manter os Anexos I e II do TR, caso opte pela substituição do instrumento contratual;</w:t>
      </w:r>
    </w:p>
    <w:p>
      <w:r>
        <w:t>4. atentar para a redação adequada das cláusulas de vigência e extinção contratual, de acordo com a natureza da contratação;</w:t>
      </w:r>
    </w:p>
    <w:p>
      <w:r>
        <w:t>5. manter a redação da minuta padrão em relação à vigência dos contratos de escopo;</w:t>
      </w:r>
    </w:p>
    <w:p>
      <w:r>
        <w:t>6. comprovar que o objeto está previsto nas metas do Plano Plurianual ou que todo o empenho necessário à execução contratual será realizado até o dia 31 de dezembro do ano da conclusão da licitação, nos casos em que a vigência do contrato de escopo extrapole o exercício financeiro;</w:t>
      </w:r>
    </w:p>
    <w:p>
      <w:r>
        <w:t>7. inserir as previsões relacionadas ao comodato, caso se trate de fornecimento de água mineral em garrafões retornáveis, conforme previsto no item 284, deste parecer;</w:t>
      </w:r>
    </w:p>
    <w:p>
      <w:r>
        <w:t>8. observar o entendimento quanto à aplicação da LGPD, acima exposto.</w:t>
      </w:r>
    </w:p>
    <w:p>
      <w:r>
        <w:t>12. DA PUBLICAÇÃO DO EDITAL E DA LEI DE ACESSO À INFORMAÇÃO</w:t>
      </w:r>
    </w:p>
    <w:p>
      <w:r>
        <w:t>288. É obrigatória a divulgação e a manutenção do inteiro teor do edital de licitação, seus anexos e do termo de contrato no Portal Nacional de Contratações Públicas, a publicação de extrato do edital no Diário Oficial da União, bem como em jornal diário de grande circulação (art. 54, caput e § 1°, c/c art. 94 da Lei n. 14.133/2021).</w:t>
      </w:r>
    </w:p>
    <w:p>
      <w:r>
        <w:t>289. Deve ser observado o prazo mínimo de 8 (oito) dias úteis, contados a partir da data de divulgação do edital de licitação, para a apresentação das propostas e lances, quando adotados os critérios de julgamento de menor preço ou de maior desconto (art. 55, I, alínea "a", Lei n. 14.133/2021).</w:t>
      </w:r>
    </w:p>
    <w:p>
      <w:r>
        <w:t>290. Após a homologação do processo licitatório, é obrigatória a disponibilização no Portal Nacional de Contratações Públicas (PNCP) dos documentos elaborados na fase preparatória que porventura não tenham integrado o edital e seus anexos (art. 54, § 3°, da Lei n. 14.133/2021).</w:t>
      </w:r>
    </w:p>
    <w:p>
      <w:r>
        <w:t>291. Deverão ser disponibilizados os seguintes documentos e informações no sítio oficial do órgão licitante na internet (art. 8°, § 2°, da Lei n. 12.527, de 2011, c/c art. 7°, § 3°, inc. V, do Decreto n. 7.724, de 2012,):</w:t>
      </w:r>
    </w:p>
    <w:p>
      <w:r>
        <w:t>a) cópia integral do edital com seus anexos;</w:t>
      </w:r>
    </w:p>
    <w:p>
      <w:r>
        <w:t>b) resultado da licitação;</w:t>
      </w:r>
    </w:p>
    <w:p>
      <w:r>
        <w:t>c) contratos firmados e notas de empenho emitidas.</w:t>
      </w:r>
    </w:p>
    <w:p>
      <w:r>
        <w:t>13. ATESTADO DE ADEQUAÇÃO DO PROCESSO AO PARECER REFERENCIAL</w:t>
      </w:r>
    </w:p>
    <w:p>
      <w:r>
        <w:t>292. Deverá o órgão assessorado informar, sempre que solicitado, a relação dos processos, com respectivo NUP, em que a presente manifestação jurídica referencial tenha sido adotada.</w:t>
      </w:r>
    </w:p>
    <w:p>
      <w:r>
        <w:t>293. É necessário, ainda, o preenchimento e juntada aos autos da seguinte declaração:</w:t>
      </w:r>
    </w:p>
    <w:p>
      <w:r>
        <w:t>ATESTADO DE CONFORMIDADE DO PROCESSO COM O PARECER REFERENCIAL</w:t>
      </w:r>
    </w:p>
    <w:p>
      <w:r>
        <w:t>Processo:</w:t>
      </w:r>
    </w:p>
    <w:p>
      <w:r>
        <w:t>Referência/objeto: aquisição de XXXX, por meio de pregão eletrônico, com critério de julgamento pelo menor preço. Valor estimado (Valor de referência): R$</w:t>
      </w:r>
    </w:p>
    <w:p>
      <w:r>
        <w:t>Atesto que o caso concreto dos presentes autos adequa-se à hipótese analisada pelo PARECER REFERENCIAL n. 00008/2025/GERTEC/ELIC/PGF/AGU, cujas recomendações foram integralmente atendidas, de acordo com o que está consignado na lista de verificação juntada aos autos.</w:t>
      </w:r>
    </w:p>
    <w:p>
      <w:r>
        <w:t>Fica, assim, dispensada a remessa dos autos para exame individualizado pela Procuradoria Federal Especializada junto à autarquia/fundação, nos termos da Portaria PGF/AGU n. 262, de 05 de maio de 2017, e Orientação Normativa n. 55 da Advocacia Geral da União.</w:t>
      </w:r>
    </w:p>
    <w:p>
      <w:r>
        <w:t>...........................de.............................de 20........</w:t>
      </w:r>
    </w:p>
    <w:p>
      <w:r>
        <w:t>_______________________________</w:t>
      </w:r>
    </w:p>
    <w:p>
      <w:r>
        <w:t>Identificação e assinatura</w:t>
      </w:r>
    </w:p>
    <w:p>
      <w:r>
        <w:t>III. CONCLUSÃO</w:t>
      </w:r>
    </w:p>
    <w:p>
      <w:r>
        <w:t>294. Em face do exposto, nos limites da análise jurídica, o parecer é pela regularidade jurídica do processo licitatório, desde que sejam preenchidos todos os requisitos e recomendações constantes deste Parecer Referencial, ressalvado o juízo de mérito da Administração e os aspectos técnicos, econômicos e financeiros, que escapam à análise deste órgão consultivo (art. 53 da Lei n. 14.133, de 2021).</w:t>
      </w:r>
    </w:p>
    <w:p>
      <w:r>
        <w:t>295.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em cada processo individualmente, que a situação concreta se amolda aos termos desta manifestação, conforme modelo presente no item 293.</w:t>
      </w:r>
    </w:p>
    <w:p>
      <w:r>
        <w:t>296. Caso haja dúvida jurídica, o processo deve ser remetido ao órgão de consultoria para exame individualizado, com a formulação dos questionamentos específicos, nos moldes da Portaria PGF n. 526, de 2013.</w:t>
      </w:r>
    </w:p>
    <w:p>
      <w:r>
        <w:t>297. As orientações emanadas dos pareceres jurídicos, ainda que apenas opinativos, devem ser seguidas ou, caso contrário, justificadas no corpo do processo.</w:t>
      </w:r>
    </w:p>
    <w:p>
      <w:r>
        <w:t>298. Por fim, não há determinação legal para fiscalização posterior de cumprimento de recomendações feitas (BPC n. 5).</w:t>
      </w:r>
    </w:p>
    <w:p>
      <w:r>
        <w:t>299. É o parecer, segundo o entendimento consolidado da ELIC, elaborado por meio do Sistema AGU de Inteligência Jurídica (Sapiens), assinado digitalmente, consoante os objetivos de eficiência, padronização e uniformidade na atividade submetida à sua consultoria jurídica (art. 1o, incisos I e II, e art. 3o, inciso II, da Portaria Normativa PGF/AGU n. 73, de 2025).</w:t>
      </w:r>
    </w:p>
    <w:p>
      <w:r>
        <w:t>Brasília, na data da assinatura.</w:t>
      </w:r>
    </w:p>
    <w:p>
      <w:pPr>
        <w:pStyle w:val="Heading2"/>
      </w:pPr>
      <w:r>
        <w:t>PARECER DE ORIENTAÇÃO N° 7/2026/SUSEP</w:t>
      </w:r>
    </w:p>
    <w:p>
      <w:pPr>
        <w:pStyle w:val="ListBullet"/>
      </w:pPr>
      <w:r>
        <w:t>Ementa: Contrato administrativo. Alteração quantitativa para supressão do objeto, com fundamento no art. 124, I, "b", da Lei n. 14.133, de 2021. Recomendação para adoção do presente parecer como Parecer Referencial, na forma da Orientação Normativa AGU n.º 55, de 23 de maio de 2014, e Portaria PGF n. 262, de 5 de maio de 2017, nos casos de ausência de dúvidas jurídicas.</w:t>
      </w:r>
    </w:p>
    <w:p>
      <w:r>
        <w:t>Categoria: Ministério da Fazenda/Superintendência de Seguros Privados</w:t>
      </w:r>
    </w:p>
    <w:p>
      <w:r>
        <w:t>Página: 61</w:t>
      </w:r>
    </w:p>
    <w:p/>
    <w:p>
      <w:r>
        <w:t>PARECER DE ORIENTAÇÃO N° 7/2026/SUSEP</w:t>
      </w:r>
    </w:p>
    <w:p>
      <w:r>
        <w:t>Contrato administrativo. Alteração quantitativa para supressão do objeto, com fundamento no art. 124, I, "b", da Lei n. 14.133, de 2021. Recomendação para adoção do presente parecer como Parecer Referencial, na forma da Orientação Normativa AGU n.º 55, de 23 de maio de 2014, e Portaria PGF n. 262, de 5 de maio de 2017, nos casos de ausência de dúvidas jurídicas.</w:t>
      </w:r>
    </w:p>
    <w:p>
      <w:r>
        <w:t>O Conselho Diretor da Superintendência de Seguros Privados - Susep, em reunião extraordinária eletrônica realizada em 10 de dezembro de 2025, resolveu adotar o PARECER REFERENCIAL n. 00007/2025/GERTEC/ELIC/PGF/AGU. em anexo, como Parecer de Orientação para utilização pela Susep no âmbito dos contratos e licitações.</w:t>
      </w:r>
    </w:p>
    <w:p>
      <w:r>
        <w:t>ALESSANDRO SERAFIN OCTAVIANI LUIS</w:t>
      </w:r>
    </w:p>
    <w:p>
      <w:r>
        <w:t>ANEXO</w:t>
      </w:r>
    </w:p>
    <w:p>
      <w:r>
        <w:t>PARECER REFERENCIAL n. 00007/2025/GERTEC/ELIC/PGF/AGU</w:t>
      </w:r>
    </w:p>
    <w:p>
      <w:r>
        <w:t>NUP: 00407.059564/2025-42</w:t>
      </w:r>
    </w:p>
    <w:p>
      <w:r>
        <w:t>INTERESSADOS: EQUIPE DE LICITAÇÃO E CONTRATO - ELIC ASSUNTO: PARECER REFERENCIAL</w:t>
      </w:r>
    </w:p>
    <w:p>
      <w:r>
        <w:t>EMENTA: Contrato administrativo. Alteração quantitativa para supressão do objeto, com fundamento no art. 124, I, "b", da Lei n. 14.133, de 2021. Recomendação para adoção do presente parecer como Parecer Referencial, na forma da Orientação Normativa AGU n.º 55, de 23 de maio de 2014, e Portaria PGF n. 262, de 5 de maio de 2017, nos casos de ausência de dúvidas jurídicas.</w:t>
      </w:r>
    </w:p>
    <w:p>
      <w:r>
        <w:t>I. Esta Manifestação Jurídica Referencial se aplica aos termos aditivos que tratem, exclusivamente, da alteração quantitativa para supressão do objeto do contrato, em contratos de prestação de serviços continuados ou não, bem como em contratos de fornecimento, continuado ou não.</w:t>
      </w:r>
    </w:p>
    <w:p>
      <w:r>
        <w:t>II. Esta Manifestação Jurídica Referencial não se aplica aos seguintes casos:</w:t>
      </w:r>
    </w:p>
    <w:p>
      <w:r>
        <w:t>a) supressão cumulada com acréscimo do objeto, com alteração qualitativa, com prorrogação, ou qualquer outro tipo de modificação contratual;</w:t>
      </w:r>
    </w:p>
    <w:p>
      <w:r>
        <w:t>b) termo aditivo para supressão de objeto em contratos de obra ou serviços de engenharia;</w:t>
      </w:r>
    </w:p>
    <w:p>
      <w:r>
        <w:t>c) termo aditivo com fundamento na Lei n. 8.666, de 1993.</w:t>
      </w:r>
    </w:p>
    <w:p>
      <w:r>
        <w:t>I.RELATORIO</w:t>
      </w:r>
    </w:p>
    <w:p>
      <w:r>
        <w:t>1. OBJETO DO PARECER REFERENCIAL</w:t>
      </w:r>
    </w:p>
    <w:p>
      <w:r>
        <w:t>1. O presente Parecer Referencial se aplica à hipótese de:</w:t>
      </w:r>
    </w:p>
    <w:tbl>
      <w:tblPr>
        <w:tblW w:type="auto" w:w="0"/>
        <w:tblLook w:firstColumn="1" w:firstRow="1" w:lastColumn="0" w:lastRow="0" w:noHBand="0" w:noVBand="1" w:val="04A0"/>
      </w:tblPr>
      <w:tblGrid>
        <w:gridCol w:w="8640"/>
      </w:tblGrid>
      <w:tr>
        <w:tc>
          <w:tcPr>
            <w:tcW w:type="dxa" w:w="8640"/>
          </w:tcPr>
          <w:p/>
        </w:tc>
      </w:tr>
      <w:tr>
        <w:tc>
          <w:tcPr>
            <w:tcW w:type="dxa" w:w="8640"/>
          </w:tcPr>
          <w:p>
            <w:r>
              <w:t>° termos aditivos que que tratem, exclusivamente, da alteração quantitativa para supressão do objeto do contrato, em contratos de prestação de serviços continuados ou não, bem como em contratos de fornecimento, continuado ou não, com fundamento no art. 124, I, "b", da Lei n. 14.133, de 2021.</w:t>
            </w:r>
          </w:p>
        </w:tc>
      </w:tr>
    </w:tbl>
    <w:p/>
    <w:p>
      <w:r>
        <w:t>° termos aditivos que que tratem, exclusivamente, da alteração quantitativa para supressão do objeto do contrato, em contratos de prestação de serviços continuados ou não, bem como em contratos de fornecimento, continuado ou não, com fundamento no art. 124, I, "b", da Lei n. 14.133, de 2021.</w:t>
      </w:r>
    </w:p>
    <w:p>
      <w:r>
        <w:t>2. Esta manifestação não se aplica às seguintes hipóteses:</w:t>
      </w:r>
    </w:p>
    <w:tbl>
      <w:tblPr>
        <w:tblW w:type="auto" w:w="0"/>
        <w:tblLook w:firstColumn="1" w:firstRow="1" w:lastColumn="0" w:lastRow="0" w:noHBand="0" w:noVBand="1" w:val="04A0"/>
      </w:tblPr>
      <w:tblGrid>
        <w:gridCol w:w="8640"/>
      </w:tblGrid>
      <w:tr>
        <w:tc>
          <w:tcPr>
            <w:tcW w:type="dxa" w:w="8640"/>
          </w:tcPr>
          <w:p/>
        </w:tc>
      </w:tr>
      <w:tr>
        <w:tc>
          <w:tcPr>
            <w:tcW w:type="dxa" w:w="8640"/>
          </w:tcPr>
          <w:p>
            <w:r>
              <w:t>a. termo aditivo que tratem de outras alterações contratuais, além da supressão do objeto, tais como, acréscimos, prorrogações, alterações qualitativas, alterações de razão social, entre outras; b. termo aditivo para supressão de objeto em contratos de obra ou serviços de engenharia; c. termo aditivo com fundamento na Lei n. 8.666, de 1993.</w:t>
            </w:r>
          </w:p>
        </w:tc>
      </w:tr>
    </w:tbl>
    <w:p/>
    <w:p>
      <w:r>
        <w:t>a. termo aditivo que tratem de outras alterações contratuais, além da supressão do objeto, tais como, acréscimos, prorrogações, alterações qualitativas, alterações de razão social, entre outras;</w:t>
      </w:r>
    </w:p>
    <w:p>
      <w:r>
        <w:t>b. termo aditivo para supressão de objeto em contratos de obra ou serviços de engenharia;</w:t>
      </w:r>
    </w:p>
    <w:p>
      <w:r>
        <w:t>c. termo aditivo com fundamento na Lei n. 8.666, de 1993.</w:t>
      </w:r>
    </w:p>
    <w:p>
      <w:r>
        <w:t>3. O ente assessorado deverá atestar, de forma expressa, que o caso concreto se enquadra nas hipóteses deste parecer, nos termos do art. 3°, §2°, da Portaria PGF/AGU n. 262, de 2017. Além disso, devem ser utilizados os modelos de minuta de termo aditivo e lista de verificação de aditamentos atualizados, quando disponibilizados pela AGU, em seu sítio eletrônico.</w:t>
      </w:r>
    </w:p>
    <w:p>
      <w:r>
        <w:t>4. A Administração poderá, a qualquer tempo, provocar a atuação do órgão de consultoria nas dúvidas jurídicas específicas que surgirem nos processos desta espécie, bem como para atualização do presente parecer.</w:t>
      </w:r>
    </w:p>
    <w:p>
      <w:r>
        <w:t>5. Recomenda-se, ainda, que o planejamento da contratação seja realizado em conformidade com as diretrizes constantes do Instrumento de Padronização dos Procedimentos de Contratação (IPP), que se encontra disponível em: https://www.aov.br/aau/pt-br/comunicacao/noticias/instrumento-de-padronizacao-dos-procedimentos.pdf. Além disso, devem ser juntadas aos autos as declarações contidas no referido documento.</w:t>
      </w:r>
    </w:p>
    <w:p>
      <w:r>
        <w:t>2. CABIMENTO DA MANIFESTAÇÃO JURÍDICA REFERENCIAL</w:t>
      </w:r>
    </w:p>
    <w:p>
      <w:r>
        <w:t>6. A Orientação Normativa AGU n. 55, de 2014, autoriza a adoção de manifestação jurídica referencial, que dispensa a análise individualizada de matérias que envolvam questões jurídicas idênticas e recorrentes, nos seguintes termos:</w:t>
      </w:r>
    </w:p>
    <w:p>
      <w: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7. Trata-se de medida adequada para orientar a Administração, sendo capaz de conferir segurança jurídica à sua atuação, sem a necessidade de análise individualizada desses processos pelo órgão jurídico, salvo se houver dúvida jurídica.</w:t>
      </w:r>
    </w:p>
    <w:p>
      <w:r>
        <w:t>8. A manifestação jurídica referencial é importante ferramenta para otimizar e racionalizar o trabalho, viabilizando maior dedicação às questões complexas, prioritárias, estratégicas e especializadas, que demandam uma atuação qualificada.</w:t>
      </w:r>
    </w:p>
    <w:p>
      <w:r>
        <w:t>9. Para a elaboração de manifestação jurídica referencial, devem ser observados os requisitos da Portaria PGF n. 262, de 2017, editada para disciplinar a questão: i) o volume de processos em matérias idênticas e recorrentes que acarrete sobrecarga de trabalho devidamente comprovada e venha a impactar, justificadamente, a atuação do órgão consultivo ou a celeridade dos serviços administrativos e, ii) a atividade jurídica exercida deve se restringir à verificação do atendimento das exigências legais a partir da simples conferência de documentos.</w:t>
      </w:r>
    </w:p>
    <w:p>
      <w:r>
        <w:t>10. Registra-se, assim, que a análise dos procedimentos para celebração de termos aditivos que tratem, exclusivamente, de supressão contratual, exceto obras e serviços de engenharia, representa significativo volume de processos e a análise jurídica é mais simples do que nos demais procedimentos de alteração contratual, enquadrando-se nas hipóteses autorizadas pela ON AGU n. 55, de 2014, e pela Portaria PGF n. 262, de 2017.</w:t>
      </w:r>
    </w:p>
    <w:p>
      <w:r>
        <w:t>3.LIMITES DA ANÁLISE JURÍDICA</w:t>
      </w:r>
    </w:p>
    <w:p>
      <w:r>
        <w:t>11. Esta manifestação jurídica tem o objetivo de contribuir com o controle prévio da legalidade, conforme previsto no art. 53 da Lei n. 14.133, de 2021. Questões técnicas, como o detalhamento do objeto da contratação, suas características, requisitos e especificações, são de atribuição da Administração (art. 53 da Lei n. 14.133, de 2021, e Enunciado BPC n. 7 do Manual de Boas Práticas Consultivas da Advocacia-Geral da União).</w:t>
      </w:r>
    </w:p>
    <w:p>
      <w:r>
        <w:t>12. Exclui-se da competência da ELIC o exame de legislação específica relacionada à atividade-fim do ente assessorado que seja aplicável ao caso concreto, nos termos do art. 2° da Portaria Normativa PGF/AGU n. 73, de 2025. Tal análise deve ser feita pelo órgão de assessoramento jurídico local.</w:t>
      </w:r>
    </w:p>
    <w:p>
      <w:r>
        <w:t>13. A presente análise pressupõe a adoção dos modelos da AGU e o uso do Instrumento de Padronização dos Procedimentos de Contratação (IPP).</w:t>
      </w:r>
    </w:p>
    <w:p>
      <w:r>
        <w:t>14. Não há determinação legal de se fiscalizar o cumprimento das recomendações feitas neste parecer, conforme Boa Prática Consultiva n. 5. Caso a autoridade administrativa deixe de acatá-las, assume, inteiramente, a responsabilidade por sua conduta.</w:t>
      </w:r>
    </w:p>
    <w:p>
      <w:r>
        <w:t>II.DA FUNDAMENTAÇÃO</w:t>
      </w:r>
    </w:p>
    <w:p>
      <w:r>
        <w:t>4. ALTERAÇÃO CONTRATUAL QUANTITATIVA PARA SUPRESSÃO PARCIAL DO OBJETO</w:t>
      </w:r>
    </w:p>
    <w:p>
      <w:r>
        <w:t>4.1 Fundamento jurídico</w:t>
      </w:r>
    </w:p>
    <w:p>
      <w:r>
        <w:t>15. A alteração quantitativa do contrato administrativo, especificamente para supressão do objeto, está prevista no art. 124, I, "b", a Lei n. 14.133, de 2021:</w:t>
      </w:r>
    </w:p>
    <w:p>
      <w:r>
        <w:t>Art. 124. Os contratos regidos por esta Lei poderão ser alterados, com as devidas justificativas, nos seguintes casos:</w:t>
      </w:r>
    </w:p>
    <w:p>
      <w:r>
        <w:t>I - unilateralmente pela Administração:</w:t>
      </w:r>
    </w:p>
    <w:p>
      <w:r>
        <w:t>(...)</w:t>
      </w:r>
    </w:p>
    <w:p>
      <w:r>
        <w:t>b) quando for necessária a modificação do valor contratual em decorrência de acréscimo ou diminuição quantitativa de seu objeto, nos limites permitidos por esta Lei; (...)</w:t>
      </w:r>
    </w:p>
    <w:p>
      <w:r>
        <w:t>16. Tal alteração não poderá acarretar a transfiguração (modificação) do objeto, conforme art. 126:</w:t>
      </w:r>
    </w:p>
    <w:p>
      <w:r>
        <w:t>Art. 126. As alterações unilaterais a que se refere o inciso I do caput do art. 124 desta Lei não poderão transfigurar o objeto da contratação.</w:t>
      </w:r>
    </w:p>
    <w:p>
      <w:r>
        <w:t>17. Especificamente no caso da supressão do objeto, a Administração deverá pagar pelos custos de eventual aquisição de materiais que já tenham sido colocados no local dos trabalhos pelo contratado, desde que haja regular comprovação, a teor do art. 129:</w:t>
      </w:r>
    </w:p>
    <w:p>
      <w:r>
        <w:t>Art. 129. Nas alterações contratuais para supressão de obras, bens ou serviços, se o contratado já houver adquirido os materiais e os colocado no local dos trabalhos, estes deverão ser pagos pela Administração pelos custos de aquisição regularmente comprovados e monetariamente reajustados, podendo caber indenização por outros danos eventualmente decorrentes da supressão, desde que regularmente comprovados.</w:t>
      </w:r>
    </w:p>
    <w:p>
      <w:r>
        <w:t>18. Caso a alteração unilateral do contrato represente aumento ou diminuição dos encargos do contratado, a Administração deverá restabelecer, no mesmo termo aditivo, o equilíbrio econômico-financeiro inicial (art. 130). Frise-se que, se o objeto do termo aditivo incluir o reequilíbrio econômico-financeiro do contrato, esta Manifestação Jurídica Referencial não será aplicável.</w:t>
      </w:r>
    </w:p>
    <w:p>
      <w:r>
        <w:t>19. No caso de serviços, a matéria é regulamentada, também, pela Instrução Normativa SEGES/MP n. 05/2017, em seu Anexo X, aplicável no que couber:</w:t>
      </w:r>
    </w:p>
    <w:p>
      <w:r>
        <w:t>ANEXO X</w:t>
      </w:r>
    </w:p>
    <w:p>
      <w:r>
        <w:t>DA ALTERAÇÃO DOS CONTRATOS</w:t>
      </w:r>
    </w:p>
    <w:p>
      <w:r>
        <w:t>1 . Durante a fase de execução da prestação dos serviços, o objeto contratado poderá ser alterado, desde que justificadamente (...):</w:t>
      </w:r>
    </w:p>
    <w:p>
      <w:r>
        <w:t>2. As alterações contratuais devem ser promovidas mediante celebração de termo aditivo, que deverá ser submetido à prévia aprovação da consultoria jurídica do órgão ou entidade contratante.</w:t>
      </w:r>
    </w:p>
    <w:p>
      <w:r>
        <w:t>2.1. Nas alterações contratuais unilaterais, devem ser observados os limites legais para os acréscimos e supressões, e nas alterações consensuais, os limites para os acréscimos, utilizando-se, em qualquer caso, o valor inicial atualizado do contrato.</w:t>
      </w:r>
    </w:p>
    <w:p>
      <w:r>
        <w:t>2.2. Em qualquer hipótese, não poderá haver modificação da essência do objeto.</w:t>
      </w:r>
    </w:p>
    <w:p>
      <w:r>
        <w:t>2.3. É vedado promover modificação no contrato sem prévio procedimento por aditamento ou apostilamento contratual.</w:t>
      </w:r>
    </w:p>
    <w:p>
      <w:r>
        <w:t>2.4. As alterações deverão ser precedidas de instrução processual em que deverão constar, no mínimo:</w:t>
      </w:r>
    </w:p>
    <w:p>
      <w:r>
        <w:t>a) a descrição do objeto do contrato com as suas especificações e do modo de execução;</w:t>
      </w:r>
    </w:p>
    <w:p>
      <w:r>
        <w:t>b) a descrição detalhada da proposta de alteração;</w:t>
      </w:r>
    </w:p>
    <w:p>
      <w:r>
        <w:t>c) a justificativa para a necessidade da alteração proposta e a referida hipótese legal;</w:t>
      </w:r>
    </w:p>
    <w:p>
      <w:r>
        <w:t>d) o detalhamento dos custos da alteração de forma a demonstrar que não extrapola os limites legais e que mantém a equação econômico-financeira do contrato;</w:t>
      </w:r>
    </w:p>
    <w:p>
      <w:r>
        <w:t>e) a ciência da contratada, por escrito, em relação às alterações propostas no caso de alteração unilateral ou a sua concordância para as situações de alteração por acordo das partes.</w:t>
      </w:r>
    </w:p>
    <w:p>
      <w:r>
        <w:t>20. Verifica-se que a Lei n. 14.133, de 2021, confere à Administração a prerrogativa de modificar unilateralmente o contrato administrativo - isto é, independentemente da concordância do contratado -, para melhor adequação às finalidades de interesse público, desde que apresentadas as devidas justificativas, respeitados os direitos do contratado e os limites impostos pela própria legislação.</w:t>
      </w:r>
    </w:p>
    <w:p>
      <w:r>
        <w:t>5.LIMITE LEGAL PARA A SUPRESSÃO CONTRATUAL</w:t>
      </w:r>
    </w:p>
    <w:tbl>
      <w:tblPr>
        <w:tblW w:type="auto" w:w="0"/>
        <w:tblLook w:firstColumn="1" w:firstRow="1" w:lastColumn="0" w:lastRow="0" w:noHBand="0" w:noVBand="1" w:val="04A0"/>
      </w:tblPr>
      <w:tblGrid>
        <w:gridCol w:w="8640"/>
      </w:tblGrid>
      <w:tr>
        <w:tc>
          <w:tcPr>
            <w:tcW w:type="dxa" w:w="8640"/>
          </w:tcPr>
          <w:p/>
        </w:tc>
      </w:tr>
      <w:tr>
        <w:tc>
          <w:tcPr>
            <w:tcW w:type="dxa" w:w="8640"/>
          </w:tcPr>
          <w:p>
            <w:r>
              <w:t>Resumo: a. na supressão unilateral, o limite é de 25% do valor inicial atualizado do contrato; b. na supressão consensual, o limite de 25% pode ser ultrapassado, mediante justificativa; c. a base de cálculo é sempre o valor inicial atualizado do contrato, assim entendido como o valor original acrescido de eventuais atualizações financeiras ocorridas ao longo da vigência, como reajustes, revisões, repactuações e reequilíbrios; d. devem ser excluídos da base de cálculo (valor inicial atualizado do contrato) os acréscimos e supressões que tenham sido efetivados anteriormente;</w:t>
            </w:r>
          </w:p>
        </w:tc>
      </w:tr>
      <w:tr>
        <w:tc>
          <w:tcPr>
            <w:tcW w:type="dxa" w:w="8640"/>
          </w:tcPr>
          <w:p>
            <w:r>
              <w:t>e. é vedada a compensação entre acréscimos e supressões: os limites percentuais previstos em lei devem ser aplicados de forma isolada ao conjunto de acréscimos e ao conjunto de supressões, não se admitindo que a supressão de quantitativos de um ou mais itens seja compensada por acréscimos de itens diferentes ou pela inclusão de novos itens; f. em contratos derivados de licitações do tipo menor preço por item, com adjudicação por item, o limite legal para alterações do objeto deve ser calculado sobre o valor inicial atualizado do item que sofrerá a alteração; g. em contratos derivados de licitação com critério de julgamento o menor preço global e adjudicação global, o limite legal para as alterações do objeto deve ser calculado sobre o valor inicial atualizado do contrato, ainda que a alteração recaia sobre apenas um ou alguns itens.</w:t>
            </w:r>
          </w:p>
        </w:tc>
      </w:tr>
    </w:tbl>
    <w:p/>
    <w:p>
      <w:r>
        <w:t>Resumo:</w:t>
      </w:r>
    </w:p>
    <w:p>
      <w:r>
        <w:t>a. na supressão unilateral, o limite é de 25% do valor inicial atualizado do contrato;</w:t>
      </w:r>
    </w:p>
    <w:p>
      <w:r>
        <w:t>b. na supressão consensual, o limite de 25% pode ser ultrapassado, mediante justificativa;</w:t>
      </w:r>
    </w:p>
    <w:p>
      <w:r>
        <w:t>c. a base de cálculo é sempre o valor inicial atualizado do contrato, assim entendido como o valor original acrescido de eventuais atualizações financeiras ocorridas ao longo da vigência, como reajustes, revisões, repactuações e reequilíbrios;</w:t>
      </w:r>
    </w:p>
    <w:p>
      <w:r>
        <w:t>d. devem ser excluídos da base de cálculo (valor inicial atualizado do contrato) os acréscimos e supressões que tenham sido efetivados anteriormente;</w:t>
      </w:r>
    </w:p>
    <w:p>
      <w:r>
        <w:t>e. é vedada a compensação entre acréscimos e supressões: os limites percentuais previstos em lei devem ser aplicados de forma isolada ao conjunto de acréscimos e ao conjunto de supressões, não se admitindo que a supressão de quantitativos de um ou mais itens seja compensada por acréscimos de itens diferentes ou pela inclusão de novos itens;</w:t>
      </w:r>
    </w:p>
    <w:p>
      <w:r>
        <w:t>f. em contratos derivados de licitações do tipo menor preço por item, com adjudicação por item, o limite legal para alterações do objeto deve ser calculado sobre o valor inicial atualizado do item que sofrerá a alteração;</w:t>
      </w:r>
    </w:p>
    <w:p>
      <w:r>
        <w:t>g. em contratos derivados de licitação com critério de julgamento o menor preço global e adjudicação global, o limite legal para as alterações do objeto deve ser calculado sobre o valor inicial atualizado do contrato, ainda que a alteração recaia sobre apenas um ou alguns itens.</w:t>
      </w:r>
    </w:p>
    <w:p>
      <w:r>
        <w:t>5.1 Limite para a supressão unilateral</w:t>
      </w:r>
    </w:p>
    <w:p>
      <w:r>
        <w:t>21. O limite para a alteração unilateral é de 25% (vinte e cinco por cento) do valor inicial atualizado do contrato, nos termos do art. 125:</w:t>
      </w:r>
    </w:p>
    <w:p>
      <w:r>
        <w:t>Art. 125. Nas alterações unilaterais a que se refere o inciso I do caput do art. 124 desta Lei,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w:t>
      </w:r>
    </w:p>
    <w:p>
      <w:r>
        <w:t>5.2 Limite para a supressão consensual</w:t>
      </w:r>
    </w:p>
    <w:p>
      <w:r>
        <w:t>22. Caso se trate de alteração consensual para supressão, ou seja, se houver expressa concordância do contratado, pode-se extrapolar o limite do art. 125, pois a lei restringiu a regra apenas às alterações unilaterais. É o entendimento do PARECER n. 00061 /2024/DECOR/CGU/AGU (NUP: 00688.001623/2024-01, seq. 21), cuja ementa segue transcrita:</w:t>
      </w:r>
    </w:p>
    <w:p>
      <w:r>
        <w:t>EMENTA: SUPRESSÃO PARCIAL CONSENSUAL DE CONTRATO ADMINISTRATIVO. LEI 14.133/2021. AUSÊNCIA DE LIMITES PERCENTUAIS.</w:t>
      </w:r>
    </w:p>
    <w:p>
      <w:r>
        <w:t>1. Não há, na Lei 14.133/2021, dispositivo que reproduza o teor do art. 65, §2°, II da revogada Lei 8.666/1993.</w:t>
      </w:r>
    </w:p>
    <w:p>
      <w:r>
        <w:t>2. O art. 125 da Lei 14.133/2021 impõe limites quantitativos apenas às alterações unilaterais eventualmente impostas pela Administração, nada falando acerca de supressões decorrentes de acordo das partes. Não incidência sobre as alterações contratuais consensuais.</w:t>
      </w:r>
    </w:p>
    <w:p>
      <w:r>
        <w:t>3. Se o art. 65, §2°, II da revogada Lei 8.666/1993 previa uma restrição percentual a qualquer alteração contratual e a sua redação não foi repetida pela novel Lei 14.133/2021, forçoso concluir que a intenção legislativa foi a de afastar tal restrição quantitativa quando se tratar de supressão consensual.</w:t>
      </w:r>
    </w:p>
    <w:p>
      <w:r>
        <w:t>4.Forte orientação doutrinária a respeito do tema.</w:t>
      </w:r>
    </w:p>
    <w:p>
      <w:r>
        <w:t>5. Necessidade de a supressão parcial consensual do contrato administrativo respeitar os princípios enunciados no art.</w:t>
      </w:r>
    </w:p>
    <w:p>
      <w:r>
        <w:t>5° da Lei 14.133/2021; ser adequadamente fundamentada; e ensejar a responsabilização de servidor por eventual falha do projeto.</w:t>
      </w:r>
    </w:p>
    <w:p>
      <w:r>
        <w:t>23. Atenção: o entendimento do parecer acima é restrito às hipóteses de supressão parcial consensual do objeto. Não se aplica, pois, aos acréscimos.</w:t>
      </w:r>
    </w:p>
    <w:p>
      <w:r>
        <w:t>5.3 Base de cálculo do limite</w:t>
      </w:r>
    </w:p>
    <w:p>
      <w:r>
        <w:t>24. A forma de cálculo do percentual de alteração do contrato merece redobrada atenção da Administração. Eventuais equívocos podem acarretar irregularidade na celebração do termo aditivo, dano ao erário e levar à responsabilização do agente público.</w:t>
      </w:r>
    </w:p>
    <w:p>
      <w:r>
        <w:t>25. Tanto acréscimos, quanto supressões devem ser sempre calculados sobre o valor inicial atualizado do contrato, ou seja, a base de cálculo é o valor original da avença, independentemente de ter ocorrido ou não qualquer alteração posterior.</w:t>
      </w:r>
    </w:p>
    <w:p>
      <w:r>
        <w:t>26. Pela expressão "valor inicial atualizado do contrato" entende-se o seu valor original, acrescido de eventuais atualizações financeiras ocorridas ao longo de seu prazo de vigência, tais como reajustes, revisões, repactuações e reequilíbrios. Por outro lado, devem ser excluídos da abrangência do conceito de "valor inicial atualizado" os acréscimos e supressões já eventualmente efetivados (Acórdão TCU n. 1.080/2008 -Plenário).</w:t>
      </w:r>
    </w:p>
    <w:p>
      <w:r>
        <w:t>27. Os limites percentuais previstos em lei devem ser aplicados de forma isolada ao conjunto de acréscimos e ao conjunto de supressões, sendo vedada a compensação de acréscimos e supressões entre itens distintos, não se admitindo que a supressão de quantitativos de um ou mais itens seja compensada por acréscimos de itens diferentes ou pela inclusão de novos itens.</w:t>
      </w:r>
    </w:p>
    <w:p>
      <w:r>
        <w:t>28. É o que dispõe a Orientação Normativa da Advocacia-Geral da União n.50, de 2014, com redação dada pela Portaria AGU n. 140, de 2021:</w:t>
      </w:r>
    </w:p>
    <w:p>
      <w:r>
        <w:t>I - Os acréscimos e as supressões do objeto contratual devem ser sempre calculados sobre o valor inicial do contrato atualizado, aplicando-se de forma isolada os limites percentuais previstos em lei ao conjunto de acréscimos e supressões, vedada a compensação de acréscimos e supressões entre itens distintos, não se admitindo que a supressão de quantitativos de um ou mais itens seja compensada por acréscimos de itens diferentes ou pela inclusão de novos itens.</w:t>
      </w:r>
    </w:p>
    <w:p>
      <w:r>
        <w:t>II - no âmbito do mesmo item, o restabelecimento parcial ou total de quantitativo anteriormente suprimido não representa compensação vedada, desde que sejam observadas as mesmas condições e preços iniciais pactuados, não haja fraude ao certame ou à contratação direta, jogo de planilha, nem descaracterização do objeto, sendo juridicamente possível, além do restabelecimento, a realização de aditamentos para novos acréscimos ou supressões, observados os limites legais para alterações do objeto em relação ao valor inicial e atualizado do contrato.</w:t>
      </w:r>
    </w:p>
    <w:p>
      <w:r>
        <w:t>REFERÊNCIA: art. 124, inciso I, alínea "b", e arts. 125 e 126 da Lei n. 14.133, de 1° de abril de 2021; art. 65, inciso I, alínea "b", e § 1°, da Lei n. 8.666, de 21 de junho de 1993; Parecer PGFN/CJU/CLC/n. 28/2009, Parecer n.1359/2010/LC/NAJSP/ AGU, Parecer n. 16/2021/DECOR/CGU/AGU, Despacho n. 158/2021/Decor/CGU/AGU e Despacho n. 172/2021/DECOR/CGU/AGU.</w:t>
      </w:r>
    </w:p>
    <w:p>
      <w:r>
        <w:t>5.4 Base de cálculo do limite em contrato derivado de licitação cujo objeto contemple mais de um item</w:t>
      </w:r>
    </w:p>
    <w:p>
      <w:r>
        <w:t>29. A base de cálculo para incidência dos limites para alteração do objeto contratual relaciona-se com o critério de julgamento da licitação e da adjudicação do objeto.</w:t>
      </w:r>
    </w:p>
    <w:p>
      <w:r>
        <w:t>30. Assim, em contratos derivados de licitação em que o critério de julgamento tenha sido o menor preço por item, com adjudicação por item, o limite legal para alterações do objeto deve ser calculado sobre o valor inicial atualizado do item que sofrerá a alteração, pois, nesse caso, o objeto é independente e a reunião em uma mesma licitação decorre de mera conveniência administrativa.</w:t>
      </w:r>
    </w:p>
    <w:p>
      <w:r>
        <w:t>31. Na hipótese de o contrato derivar de licitação com critério de julgamento o menor preço global e adjudicação global, o limite legal para as alterações do objeto deve ser calculado sobre o valor inicial atualizado do contrato, ainda que a alteração recaia sobre apenas um ou alguns itens.</w:t>
      </w:r>
    </w:p>
    <w:p>
      <w:r>
        <w:t>32. Esse é o entendimento da Procuradoria-Geral Federal, conforme Parecer n. 00005/2022/CPLC/DEPCONSU/PGF/AGU, aprovado pelo PGF (NUP: 00812.000089/2022-73 - Seq. 6). Em que pese tal parecer ter sido elaborado à época da Lei n. 8.666, de 1993, entende-se perfeitamente aplicável à Lei n. 14.133, de 2021, pois não há alteração do fundamento, que é a divisão por itens e os critérios de julgamento e adjudicação.</w:t>
      </w:r>
    </w:p>
    <w:p>
      <w:r>
        <w:t>33. Dessa forma, o limite das alterações contratuais previsto art. 125, da Lei n. 14.133, de 2021, deve ter como base de cálculo:</w:t>
      </w:r>
    </w:p>
    <w:p>
      <w:r>
        <w:t>a) o valor atualizado do item que sofrerá a alteração, quanto a contratos derivados de licitações do tipo menor preço por item com adjudicação por item, ou</w:t>
      </w:r>
    </w:p>
    <w:p>
      <w:r>
        <w:t>b) o valor inicial atualizado do contrato, nos casos de licitação de do tipo menor preço global com adjudicação global, ainda que a alteração recaia sobre apenas um ou alguns itens que compõem seu objeto.</w:t>
      </w:r>
    </w:p>
    <w:p>
      <w:r>
        <w:t>Recomendação:</w:t>
      </w:r>
    </w:p>
    <w:p>
      <w:r>
        <w:t>34.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se o contrato derivou de licitação com adjudicação global, calcular o percentual de alteração a partir do valor inicial atualizado do contrato, ainda que a alteração recaia apenas sobre um ou alguns itens; b. se o contrato derivou de licitação com adjudicação por itens, calcular o percentual de alteração a partir do valor inicial atualizado de cada item; c. calcular o percentual de supressão em relação ao valor total inicial atualizado do contrato, de forma isolada, sem considerar qualquer alteração anteriormente realizada; d. não promover qualquer compensação entre supressão e acréscimo, ou seja, deve haver a indicação do percentual de supressão efetivo, e o novo valor do contrato, o que, além de comprovar o atendimento à ON da AGU acima indicada, facilita o cálculo de eventuais alterações posteriores; e. somar todos os eventuais percentuais de supressão já realizados no contrato, para verificar o atendimento ao limite legal de 25%, sendo que se esse for superado, o termo aditivo somente poderá prosseguir se for consensual, ou seja, se houver prévia e expressa concordância da contratada.</w:t>
            </w:r>
          </w:p>
        </w:tc>
      </w:tr>
    </w:tbl>
    <w:p/>
    <w:p>
      <w:r>
        <w:t>a. se o contrato derivou de licitação com adjudicação global, calcular o percentual de alteração a partir do valor inicial atualizado do contrato, ainda que a alteração recaia apenas sobre um ou alguns itens;</w:t>
      </w:r>
    </w:p>
    <w:p>
      <w:r>
        <w:t>b. se o contrato derivou de licitação com adjudicação por itens, calcular o percentual de alteração a partir do valor inicial atualizado de cada item;</w:t>
      </w:r>
    </w:p>
    <w:p>
      <w:r>
        <w:t>c. calcular o percentual de supressão em relação ao valor total inicial atualizado do contrato, de forma isolada, sem considerar qualquer alteração anteriormente realizada;</w:t>
      </w:r>
    </w:p>
    <w:p>
      <w:r>
        <w:t>d. não promover qualquer compensação entre supressão e acréscimo, ou seja, deve haver a indicação do percentual de supressão efetivo, e o novo valor do contrato, o que, além de comprovar o atendimento à ON da AGU acima indicada, facilita o cálculo de eventuais alterações posteriores;</w:t>
      </w:r>
    </w:p>
    <w:p>
      <w:r>
        <w:t>e. somar todos os eventuais percentuais de supressão já realizados no contrato, para verificar o atendimento ao limite legal de 25%, sendo que se esse for superado, o termo aditivo somente poderá prosseguir se for consensual, ou seja, se houver prévia e expressa concordância da contratada.</w:t>
      </w:r>
    </w:p>
    <w:p>
      <w:r>
        <w:t>6. REQUISITOS PARA A CELEBRAÇÃO DO TERMO ADITIVO</w:t>
      </w:r>
    </w:p>
    <w:p>
      <w:r>
        <w:t>35. A Administração deverá comprovar o atendimento dos seguintes requisitos essenciais para formalizar a alteração:</w:t>
      </w:r>
    </w:p>
    <w:p>
      <w:r>
        <w:t>a) Celebração do termo aditivo dentro do prazo de vigência da contratação</w:t>
      </w:r>
    </w:p>
    <w:p>
      <w:r>
        <w:t>36. A assinatura e formalização do termo aditivo deve ocorrer antes do término do prazo da vigência do contrato, pois, após a extinção do prazo, sem que tenha havido, em tempo hábil, a sua prorrogação, não é juridicamente possível firmar o termo aditivo (art. 132 da Lei n. 14.133, de 2021 e cláusula de extinção contratual das minutas de contrato padronizadas da AGU).</w:t>
      </w:r>
    </w:p>
    <w:p>
      <w:r>
        <w:t>37. Atenção: nos contratos de escopo, a vigência pode ser prorrogada automaticamente, caso o objeto não tenha sido concluído no prazo originalmente previsto, conforme disposto na Orientação Normativa n. 92/2024 da AGU:</w:t>
      </w:r>
    </w:p>
    <w:p>
      <w:r>
        <w:t>I - A vigência dos contratos, dos convênios e instrumentos congêneres com escopo predefinido extingue-se pela conclusão de seu objeto, e não pela expiração do prazo originalmente previsto no ajuste, conforme o art. 111 da Lei 14.133, de 2021.</w:t>
      </w:r>
    </w:p>
    <w:p>
      <w:r>
        <w:t>II - É recomendável que a Administração avalie, no caso concreto, a necessidade de formalizar termo aditivo ou apostilamento, conforme a situação, para a fixação de novas datas, prazos ou cronogramas para a execução da obrigação ajustada, mesmo após ser atingido o termo final de vigência originalmente estabelecido, tendo em vista a proibição de instrumentos com prazo de vigência indeterminado.</w:t>
      </w:r>
    </w:p>
    <w:p>
      <w:r>
        <w:t>38. Assim, nos contratos de escopo, caso a vigência tenha sido superada sem a conclusão do objeto, será possível o aditamento para supressão, recomendando-se que a Administração formalize as novas datas, prazos ou cronogramas para a execução da obrigação, nos termos da ON acima transcrita. Destaca-se que a prorrogação de contrato de escopo não é objeto deste parecer referencial.</w:t>
      </w:r>
    </w:p>
    <w:p>
      <w:r>
        <w:t>39. Alerta-se: a contagem da vigência do contrato deve observar o sistema data a data (art. 89, caput, da Lei n. 14.133, de 2021, art. 132, §3°, do Código Civil e Conclusão DEPCONSU/PGF/AGU n. 69/2014).</w:t>
      </w:r>
    </w:p>
    <w:p>
      <w:r>
        <w:t>40. Atenção: é imprescindível que a última assinatura das partes ocorra no prazo de vigência do contrato original, garantindo assim a prorrogação legal do ajuste e a continuidade jurídica dos efeitos contratuais.</w:t>
      </w:r>
    </w:p>
    <w:p>
      <w:r>
        <w:t>Recomendação:</w:t>
      </w:r>
    </w:p>
    <w:p>
      <w:r>
        <w:t>41.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atentar para que a assinatura das partes e formalização do termo aditivo ocorra dentro do prazo de vigência da contratação.</w:t>
            </w:r>
          </w:p>
        </w:tc>
      </w:tr>
    </w:tbl>
    <w:p/>
    <w:p>
      <w:r>
        <w:t>a. atentar para que a assinatura das partes e formalização do termo aditivo ocorra dentro do prazo de vigência da contratação.</w:t>
      </w:r>
    </w:p>
    <w:p>
      <w:r>
        <w:t>b) Justificativa da necessidade de alteração, com demonstração da presença de razões supervenientes</w:t>
      </w:r>
    </w:p>
    <w:p>
      <w:r>
        <w:t>42. A Administração deve apresentar justificativa específica para a supressão contratual, nos termos do art. 124, da Lei n. 14.133, de 2021. Os relatos e pareceres da área técnica devem demonstrar efetivamente o enquadramento do caso na hipótese legal.</w:t>
      </w:r>
    </w:p>
    <w:p>
      <w:r>
        <w:t>43. A justificativa deve demonstrar a ocorrência de fato superveniente, ou de conhecimento superveniente, que fundamente, tecnicamente, a alteração pretendida. Deve esclarecer as razões pelas quais as quantidades estimadas não se mostraram adequadas para a execução do objeto pactuado, bem como demonstrar a necessidade e a existência de interesse público nas referidas modificações.</w:t>
      </w:r>
    </w:p>
    <w:p>
      <w:r>
        <w:t>44. A Administração deve justificar a pretendida alteração contratual com base em fatos comprovados e elementos sólidos que demonstrem objetivamente a real necessidade de se modificar a demanda inicialmente contratada.</w:t>
      </w:r>
    </w:p>
    <w:p>
      <w:r>
        <w:t>45. Caso o contrato contemple cláusula de matriz de riscos, deve ser observada a divisão de ônus prevista no contrato (art. 6°, inciso XXVII, alínea "a", c/c art. 22, §1° e § 2°, inciso I, c/c art. 103, § 4° e 5, inciso I, da Lei n. 14.133, de 2021).</w:t>
      </w:r>
    </w:p>
    <w:p>
      <w:r>
        <w:t>46. Sugere-se que a formalização da instrução processual e o encaminhamento da documentação pertinente sejam feitos pelo(s) servidor(es) responsável(is) pela atividade de gestão e fiscalização do contrato, a fim de assegurar o cumprimento das cláusulas contratuais e a solução de problemas relativos ao objeto (art. 39 da IN SEGES/MP n. 05/2017).</w:t>
      </w:r>
    </w:p>
    <w:p>
      <w:r>
        <w:t>47. Os motivos a serem invocados como justificativas para a modificação contratual, por guardarem pertinência com questões de ordem técnica e administrativa, não são competência desta Consultoria, devendo ser juntada nos autos a documentação que lhes dá suporte. Trata-se, assim, de matéria de exclusiva responsabilidade da Administração, nos termos do Enunciado n. 07 do Manual de Boas Práticas Consultivas da Advocacia Geral da União.</w:t>
      </w:r>
    </w:p>
    <w:p>
      <w:r>
        <w:t>Recomendação:</w:t>
      </w:r>
    </w:p>
    <w:p>
      <w:r>
        <w:t>48.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justificar a supressão do objeto contratado, demonstrando, necessariamente: o enquadramento na hipótese legal; a ocorrência de fato superveniente, ou de conhecimento superveniente, que fundamente a alteração; o motivo pelo qual as quantidades inicialmente estimadas não foram adequadas. b. juntar a documentação comprobatória.</w:t>
            </w:r>
          </w:p>
        </w:tc>
      </w:tr>
    </w:tbl>
    <w:p/>
    <w:p>
      <w:r>
        <w:t>a. justificar a supressão do objeto contratado, demonstrando, necessariamente:</w:t>
      </w:r>
    </w:p>
    <w:p>
      <w:r>
        <w:t>o enquadramento na hipótese legal;</w:t>
      </w:r>
    </w:p>
    <w:p>
      <w:r>
        <w:t>a ocorrência de fato superveniente, ou de conhecimento superveniente, que fundamente a alteração;</w:t>
      </w:r>
    </w:p>
    <w:p>
      <w:r>
        <w:t>o motivo pelo qual as quantidades inicialmente estimadas não foram adequadas.</w:t>
      </w:r>
    </w:p>
    <w:p>
      <w:r>
        <w:t>b. juntar a documentação comprobatória.</w:t>
      </w:r>
    </w:p>
    <w:p>
      <w:r>
        <w:t>c) Descrição detalhada da proposta de alteração, com apresentação de cálculos e do percentual da alteração</w:t>
      </w:r>
    </w:p>
    <w:p>
      <w:r>
        <w:t>49. A Administração deve providenciar o detalhamento da proposta da alteração pretendida, nos termos do art. 124, caput, da Lei n. 14.133, de 2021. Caso seja necessário, o termo de referência também deverá ser objeto de alteração, devendo serem indicados os itens específicos objeto de alteração.</w:t>
      </w:r>
    </w:p>
    <w:p>
      <w:r>
        <w:t>50. Deve, também, detalhar os custos unitários da alteração, apresentar os cálculos e o percentual de alteração correspondente, demonstrando que a alteração não extrapola os limites legais e mantém a equação econômico-financeira do contrato (arts. 125 e 130, da Lei n. 14.133, de 2021).</w:t>
      </w:r>
    </w:p>
    <w:p>
      <w:r>
        <w:t>51. Atenção: é necessário que a Administração apresente a memória de cálculo da alteração de maneira detalhada, a fim de que seja demonstrado o percentual de supressão realizado.</w:t>
      </w:r>
    </w:p>
    <w:p>
      <w:r>
        <w:t>52. Alerta-se: o cálculo do percentual deve ser feito conforme orientado no item 5 deste parecer, tendo como base o valor inicial total atualizado do contrato, sem qualquer compensação entre acréscimos e supressões.</w:t>
      </w:r>
    </w:p>
    <w:p>
      <w:r>
        <w:t>Recomendação:</w:t>
      </w:r>
    </w:p>
    <w:p>
      <w:r>
        <w:t>53.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detalhar a proposta de alteração, apresentando nova planilha de custos, se necessário; b. detalhar os custos unitários da alteração; c. elaborar os cálculos do percentual de supressão, conforme orientado na seção 5, deste parecer; d. juntar a memória de cálculo detalhada.</w:t>
            </w:r>
          </w:p>
        </w:tc>
      </w:tr>
    </w:tbl>
    <w:p/>
    <w:p>
      <w:r>
        <w:t>a. detalhar a proposta de alteração, apresentando nova planilha de custos, se necessário;</w:t>
      </w:r>
    </w:p>
    <w:p>
      <w:r>
        <w:t>b. detalhar os custos unitários da alteração;</w:t>
      </w:r>
    </w:p>
    <w:p>
      <w:r>
        <w:t>c. elaborar os cálculos do percentual de supressão, conforme orientado na seção 5, deste parecer;</w:t>
      </w:r>
    </w:p>
    <w:p>
      <w:r>
        <w:t>d. juntar a memória de cálculo detalhada.</w:t>
      </w:r>
    </w:p>
    <w:p>
      <w:r>
        <w:t>d) Não descaracterização do objeto contratual</w:t>
      </w:r>
    </w:p>
    <w:p>
      <w:r>
        <w:t>54. A alteração do contrato administrativo não pode ocasionar a transfiguração do objeto originalmente contratado em outro de natureza e propósito diversos, ou seja, não poderá haver modificação da essência do objeto (art. 126 da Lei n. 14.133, de 2021 e Anexo X, item 2.2, da IN SEGES/MP n. 05, de 2017).</w:t>
      </w:r>
    </w:p>
    <w:p>
      <w:r>
        <w:t>e) Manifestação do contratado</w:t>
      </w:r>
    </w:p>
    <w:p>
      <w:r>
        <w:t>55. Deve ser juntado aos autos documento que comprove a ciência do contratado acerca da alteração proposta, no caso de alteração unilateral.</w:t>
      </w:r>
    </w:p>
    <w:p>
      <w:r>
        <w:t>56. Alerta-se: tal manifestação deve, preferencialmente, ser juntada aos autos antes da formalização do aditamento, podendo ser suprida pela assinatura do termo aditivo pelo contratado.</w:t>
      </w:r>
    </w:p>
    <w:p>
      <w:r>
        <w:t>57. Caso se trate de alteração consensual, com extrapolação do limite de supressão, a manifestação de concordância do contratado deve ser prévia e expressa, sob pena de inviabilizar a celebração do termo aditivo, tanto no caso de serviços, como de fornecimento.</w:t>
      </w:r>
    </w:p>
    <w:p>
      <w:r>
        <w:t>Recomendação:</w:t>
      </w:r>
    </w:p>
    <w:p>
      <w:r>
        <w:t>58.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se for alteração unilateral, juntar documento que comprove a ciência do contratado; b. se for alteração consensual, em que o limite legal de 25% é extrapolado, deve juntar a concordância expressa do contratado, previamente à celebração do termo aditivo.</w:t>
            </w:r>
          </w:p>
        </w:tc>
      </w:tr>
    </w:tbl>
    <w:p/>
    <w:p>
      <w:r>
        <w:t>a. se for alteração unilateral, juntar documento que comprove a ciência do contratado;</w:t>
      </w:r>
    </w:p>
    <w:p>
      <w:r>
        <w:t>b. se for alteração consensual, em que o limite legal de 25% é extrapolado, deve juntar a concordância expressa do contratado, previamente à celebração do termo aditivo.</w:t>
      </w:r>
    </w:p>
    <w:p>
      <w:r>
        <w:t>7. MINUTA DO TERMO ADITIVO</w:t>
      </w:r>
    </w:p>
    <w:p>
      <w:r>
        <w:t>59. Devem ser adotadas as minutas padronizadas de Termo Aditivo e lista de verificação disponibilizadas pela AGU (disponível em https://www.gov.br/agu/pt- br/composicao/cgu/cgu/modelos/licitacoesecontratos/14133/termos-aditivos), com os devidos ajustes ao caso concreto, observadas as notas explicativas constantes na respectiva minuta.</w:t>
      </w:r>
    </w:p>
    <w:p>
      <w:r>
        <w:t>60. A minuta de termo aditivo deve conter cláusulas que disponham sobre:</w:t>
      </w:r>
    </w:p>
    <w:tbl>
      <w:tblPr>
        <w:tblW w:type="auto" w:w="0"/>
        <w:tblLook w:firstColumn="1" w:firstRow="1" w:lastColumn="0" w:lastRow="0" w:noHBand="0" w:noVBand="1" w:val="04A0"/>
      </w:tblPr>
      <w:tblGrid>
        <w:gridCol w:w="8640"/>
      </w:tblGrid>
      <w:tr>
        <w:tc>
          <w:tcPr>
            <w:tcW w:type="dxa" w:w="8640"/>
          </w:tcPr>
          <w:p/>
        </w:tc>
      </w:tr>
      <w:tr>
        <w:tc>
          <w:tcPr>
            <w:tcW w:type="dxa" w:w="8640"/>
          </w:tcPr>
          <w:p>
            <w:r>
              <w:t>a. o objeto da contratação e da alteração, para que se verifique a relação do aditivo com o objeto contratual original; b. o valor do termo aditivo, para fins de publicidade e transparência. Deve ser indicado o valor total do contrato antes e após a alteração e o respectivo termo inicial da produção de efeitos; c. o percentual de supressão e, caso tenha ocorrido supressão anterior, a cláusula deverá também trazer o percentual total de supressão até o momento da celebração do aditivo, para atestar o atendimento aos limites legais; d. a informação de que a alteração terá efeitos prospectivos, a partir da assinatura do aditivo ou outra data futura a ser estabelecida, salvo nos casos de justificada necessidade de antecipação de seus efeitos, hipótese em que a formalização deverá ocorrer no prazo máximo de 1 (um) mês (art. 132 da Lei n. 14.133, de 2021);</w:t>
            </w:r>
          </w:p>
        </w:tc>
      </w:tr>
      <w:tr>
        <w:tc>
          <w:tcPr>
            <w:tcW w:type="dxa" w:w="8640"/>
          </w:tcPr>
          <w:p>
            <w:r>
              <w:t>e. eventual adequação da garantia contratual, se exigida; f. a ratificação das cláusulas contratuais não alteradas pelo termo aditivo; g. local, data e assinatura das partes e testemunhas.</w:t>
            </w:r>
          </w:p>
        </w:tc>
      </w:tr>
    </w:tbl>
    <w:p/>
    <w:p>
      <w:r>
        <w:t>a. o objeto da contratação e da alteração, para que se verifique a relação do aditivo com o objeto contratual original;</w:t>
      </w:r>
    </w:p>
    <w:p>
      <w:r>
        <w:t>b. o valor do termo aditivo, para fins de publicidade e transparência. Deve ser indicado o valor total do contrato antes e após a alteração e o respectivo termo inicial da produção de efeitos;</w:t>
      </w:r>
    </w:p>
    <w:p>
      <w:r>
        <w:t>c. o percentual de supressão e, caso tenha ocorrido supressão anterior, a cláusula deverá também trazer o percentual total de supressão até o momento da celebração do aditivo, para atestar o atendimento aos limites legais;</w:t>
      </w:r>
    </w:p>
    <w:p>
      <w:r>
        <w:t>d. a informação de que a alteração terá efeitos prospectivos, a partir da assinatura do aditivo ou outra data futura a ser estabelecida, salvo nos casos de justificada necessidade de antecipação de seus efeitos, hipótese em que a formalização deverá ocorrer no prazo máximo de 1 (um) mês (art. 132 da Lei n. 14.133, de 2021);</w:t>
      </w:r>
    </w:p>
    <w:p>
      <w:r>
        <w:t>e. eventual adequação da garantia contratual, se exigida;</w:t>
      </w:r>
    </w:p>
    <w:p>
      <w:r>
        <w:t>f. a ratificação das cláusulas contratuais não alteradas pelo termo aditivo;</w:t>
      </w:r>
    </w:p>
    <w:p>
      <w:r>
        <w:t>g. local, data e assinatura das partes e testemunhas.</w:t>
      </w:r>
    </w:p>
    <w:p>
      <w:r>
        <w:t>61. Os dados do preâmbulo, como o nome dos representantes legais, endereços, dentre outros, devem ser verificados pela própria Administração a partir dos documentos que constam dos autos.</w:t>
      </w:r>
    </w:p>
    <w:p>
      <w:r>
        <w:t>8. PROVIDÊNCIAS COMPLEMENTARES</w:t>
      </w:r>
    </w:p>
    <w:p>
      <w:r>
        <w:t>a) Mapa de Riscos</w:t>
      </w:r>
    </w:p>
    <w:p>
      <w:r>
        <w:t>62. A Administração deve avaliar se o aditamento constitui ou não evento relevante, para os fins do dispositivo em comento, quanto à eventual atualização do mapa de risco, se for o caso.</w:t>
      </w:r>
    </w:p>
    <w:p>
      <w:r>
        <w:t>63. Nos termos do art. 26, §1°, inciso IV, da IN SEGES/MPDG n. 5, de 2017, o mapa de riscos deve ser atualizado e juntado aos autos do processo de contratação após eventos relevantes, durante a gestão do contrato pelos servidores responsáveis pela fiscalização.</w:t>
      </w:r>
    </w:p>
    <w:p>
      <w:r>
        <w:t>64. Observa-se que a apresentação, atualização e juntada do Mapa de Riscos poderá ocorrer também durante a execução do contrato (e não apenas na fase de planejamento), na hipótese de ocorrência de algum evento relevante que cause a alteração do status fático da avença original e, consequentemente, do risco inicialmente previsto.</w:t>
      </w:r>
    </w:p>
    <w:p>
      <w:r>
        <w:t>b) Aplicação da Lei n. 13.709, de 2018 (LGPD)</w:t>
      </w:r>
    </w:p>
    <w:p>
      <w:r>
        <w:t>65. A Lei n. 13.709, de 2018, (LGPD) dispõe sobre o tratamento de dados pessoais, inclusive nos meios digitais, por pessoa natural ou por pessoa jurídica de direito público ou privado, com o objetivo de proteger os direitos fundamentais de liberdade e de privacidade e o livre desenvolvimento da personalidade da pessoa natural.</w:t>
      </w:r>
    </w:p>
    <w:p>
      <w:r>
        <w:t>66. A Administração deve observar o disposto no PARECER n.00004/2022/CNMLC/CGU/AGU, que trata da aplicação da Lei Geral de Proteção de Dados nos modelos de licitação e contratos.</w:t>
      </w:r>
    </w:p>
    <w:p>
      <w:r>
        <w:t>67. O parecer fixou o entendimento de que, nos contratos administrativos, " [...] não constem os números de documentos pessoais das pessoas naturais que irão assiná-los, como ocorre normalmente com os representantes da Administração e da empresa contratada.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 8.666, de 1993, e o §1° do art. 89 da Lei n. 14.133, de 1° de abril de 2021, exigem apenas esse dado".</w:t>
      </w:r>
    </w:p>
    <w:p>
      <w:r>
        <w:t>9. DA PUBLICIDADE E DA LEI DE ACESSO À INFORMAÇÃO</w:t>
      </w:r>
    </w:p>
    <w:p>
      <w:r>
        <w:t>É obrigatória a divulgação do contrato e seus aditamentos no Portal Nacional de Contratações Públicas (PNCP), na forma prevista no art. 94 da Lei 14.133, de 2021, bem como no respectivo sítio oficial na Internet, em atenção ao art. 91, caput, da Lei n.º 14.133, de 2021, e ao art. 8°, §2°, da Lei n. 12.527, de 2011, c/c art. 7°, §3°, inciso V, do Decreto n. 7.724, de 2012.</w:t>
      </w:r>
    </w:p>
    <w:p>
      <w:r>
        <w:t>10. ATESTADO DE ADEQUAÇÃO DO PROCESSO AO PARECER REFERENCIAL</w:t>
      </w:r>
    </w:p>
    <w:p>
      <w:r>
        <w:t>68. Deverá o órgão assessorado informar, sempre que solicitado, a relação dos processos, com respectivo NUP, em que a presente manifestação jurídica referencial tenha sido adotada.</w:t>
      </w:r>
    </w:p>
    <w:p>
      <w:r>
        <w:t>69. Recomenda-se, ademais, o preenchimento e juntada aos autos da seguinte declaração:</w:t>
      </w:r>
    </w:p>
    <w:p>
      <w:r>
        <w:t>ATESTADO DE CONFORMIDADE DO PROCESSO COM O PARECER REFERENCIAL</w:t>
      </w:r>
    </w:p>
    <w:p>
      <w:r>
        <w:t>Processo:</w:t>
      </w:r>
    </w:p>
    <w:p>
      <w:r>
        <w:t>Referência/objeto: alteração quantitativa para supressão do objeto</w:t>
      </w:r>
    </w:p>
    <w:p>
      <w:r>
        <w:t>Atesto que o caso concreto dos presentes autos adequa-se à hipótese analisada pelo PARECER REFERENCIAL n° 00007/2025/GERTEC/ELIC/PGF/AGU, cujas recomendações foram integralmente atendidas, de acordo com o que está consignado na lista de verificação juntada aos autos.</w:t>
      </w:r>
    </w:p>
    <w:p>
      <w:r>
        <w:t>Fica, assim, dispensada a remessa dos autos para exame individualizado pela Procuradoria Federal Especializada junto à autarquia/fundação, nos termos da Portaria PGF/AGU n° 262, de 5 de maio de 2017, e Orientação Normativa n° 55 da Advocacia Geral da União.</w:t>
      </w:r>
    </w:p>
    <w:p>
      <w:r>
        <w:t>.......................de....................de 20.........</w:t>
      </w:r>
    </w:p>
    <w:p>
      <w:r>
        <w:t>________________________________</w:t>
      </w:r>
    </w:p>
    <w:p>
      <w:r>
        <w:t>Identificação e assinatura</w:t>
      </w:r>
    </w:p>
    <w:p>
      <w:r>
        <w:t>III. CONCLUSÃO</w:t>
      </w:r>
    </w:p>
    <w:p>
      <w:r>
        <w:t>70. Em face do exposto, nos limites da análise jurídica e excluídos os aspectos técnicos e o juízo de oportunidade e conveniência do ajuste, caso sejam preenchidos todos os requisitos constantes deste Parecer Referencial, considera-se juridicamente regular a alteração quantitativa para supressão do objeto contratual (art. 53, § 4°, da Lei n° 14.133, de 2021).</w:t>
      </w:r>
    </w:p>
    <w:p>
      <w:r>
        <w:t>71.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que a situação concreta se amolda aos termos desta manifestação, conforme modelo presente no item 68.</w:t>
      </w:r>
    </w:p>
    <w:p>
      <w:r>
        <w:t>72. Caso haja dúvida jurídica, o processo deve ser remetido ao órgão de consultoria para exame individualizado, com a formulação dos questionamentos específicos, nos moldes da Portaria PGF n° 526, de 2013.</w:t>
      </w:r>
    </w:p>
    <w:p>
      <w:r>
        <w:t>73. As orientações emanadas dos pareceres jurídicos, ainda que apenas opinativos, devem ser seguidas ou, caso contrário, justificadas no corpo do processo.</w:t>
      </w:r>
    </w:p>
    <w:p>
      <w:r>
        <w:t>74. Por fim, não há determinação legal para fiscalização posterior de cumprimento de recomendações feitas (BPC n° 5).</w:t>
      </w:r>
    </w:p>
    <w:p>
      <w:r>
        <w:t>75. É o parecer, segundo o entendimento consolidado da ELIC, elaborado por meio do Sistema AGU de Inteligência Jurídica (Sapiens), assinado digitalmente, consoante os objetivos de eficiência, padronização e uniformidade na atividade submetida à sua consultoria jurídica (art. 1°, incisos I e II, e art. 3°, inciso II, da Portaria Normativa PGF/AGU n° 73, de 2025).</w:t>
      </w:r>
    </w:p>
    <w:p>
      <w:r>
        <w:t>Brasília, na data da assinatura.</w:t>
      </w:r>
    </w:p>
    <w:p>
      <w:pPr>
        <w:pStyle w:val="Heading2"/>
      </w:pPr>
      <w:r>
        <w:t>PARECER DE ORIENTAÇÃO N° 9/2026/SUSEP</w:t>
      </w:r>
    </w:p>
    <w:p>
      <w:pPr>
        <w:pStyle w:val="ListBullet"/>
      </w:pPr>
      <w:r>
        <w:t>Ementa: Direito Administrativo. Licitações e Contratos. Sistema de Registro de Preços. Procedimento de adesão à ata. Recomendação para adoção do presente parecer como Parecer Referencial, na forma da Orientação Normativa AGU n.º 55, de 23 de maio de 2014, e Portaria PGF n. 262, de 5 de maio de 2017, nos casos de ausência de dúvidas jurídicas.</w:t>
      </w:r>
    </w:p>
    <w:p>
      <w:r>
        <w:t>Categoria: Ministério da Fazenda/Superintendência de Seguros Privados</w:t>
      </w:r>
    </w:p>
    <w:p>
      <w:r>
        <w:t>Página: 72</w:t>
      </w:r>
    </w:p>
    <w:p/>
    <w:p>
      <w:r>
        <w:t>PARECER DE ORIENTAÇÃO N° 9/2026/SUSEP</w:t>
      </w:r>
    </w:p>
    <w:p>
      <w:r>
        <w:t>Direito Administrativo. Licitações e Contratos. Sistema de Registro de Preços. Procedimento de adesão à ata. Recomendação para adoção do presente parecer como Parecer Referencial, na forma da Orientação Normativa AGU n.º 55, de 23 de maio de 2014, e Portaria PGF n. 262, de 5 de maio de 2017, nos casos de ausência de dúvidas jurídicas.</w:t>
      </w:r>
    </w:p>
    <w:p>
      <w:r>
        <w:t>O Conselho Diretor da Superintendência de Seguros Privados - Susep, em reunião extraordinária eletrônica realizada em 10 de dezembro de 2025, resolveu adotar o PARECER REFERENCIAL n. 00009/2025/GERTEC/ELIC/PGF/AGU. em anexo, como Parecer de Orientação para utilização pela Susep no âmbito dos contratos e licitações.</w:t>
      </w:r>
    </w:p>
    <w:p>
      <w:r>
        <w:t>ALESSANDRO SERAFIN OCTAVIANI LUIS</w:t>
      </w:r>
    </w:p>
    <w:p>
      <w:r>
        <w:t>ANEXO</w:t>
      </w:r>
    </w:p>
    <w:p>
      <w:r>
        <w:t>PARECER REFERENCIAL n. 00009/2025/GERTEC/ELIC/PGF/AGU</w:t>
      </w:r>
    </w:p>
    <w:p>
      <w:r>
        <w:t>NUP: 00407.059564/2025-42</w:t>
      </w:r>
    </w:p>
    <w:p>
      <w:r>
        <w:t>INTERESSADOS: EQUIPE DE LICITAÇÃO E CONTRATO - ELIC ASSUNTO: PARECER REFERENCIAL</w:t>
      </w:r>
    </w:p>
    <w:p>
      <w:r>
        <w:t>EMENTA: Direito Administrativo. Licitações e Contratos. Sistema de Registro de Preços. Procedimento de adesão à ata. Recomendação para adoção do presente parecer como Parecer Referencial, na forma da Orientação Normativa AGU n.º 55, de 23 de maio de 2014, e Portaria PGF n. 262, de 5 de maio de 2017, nos casos de ausência de dúvidas jurídicas. I. Esta Manifestação Jurídica Referencial não se aplica aos procedimentos de adesão à ata de registro de preços que tenham como objeto:</w:t>
      </w:r>
    </w:p>
    <w:p>
      <w:r>
        <w:t>a) solução de tecnologia da informação - TIC;</w:t>
      </w:r>
    </w:p>
    <w:p>
      <w:r>
        <w:t>b) obras e serviços de engenharia;</w:t>
      </w:r>
    </w:p>
    <w:p>
      <w:r>
        <w:t>c) aquisição de bens para entrega imediata.</w:t>
      </w:r>
    </w:p>
    <w:p>
      <w:r>
        <w:t>II. Esta Manifestação Jurídica Referencial não se aplica, ainda, nas seguintes hipóteses:</w:t>
      </w:r>
    </w:p>
    <w:p>
      <w:r>
        <w:t>a) aos procedimentos de adesão cujo valor da contratação esteja abaixo de 1% do valor caracterizado pela lei como contratação de grande vulto (art. 6°, XXII, da Lei n. 14.133, de 2021), considerada a atualização anual legalmente exigida;</w:t>
      </w:r>
    </w:p>
    <w:p>
      <w:r>
        <w:t>b) às atas regidas pela Lei n. 8.666, de 1993, e pelo Decreto n. 7.892, de 2013, em razão da desnecessidade de análise jurídica para esses casos, conforme Orientação Normativa AGU n. 64.</w:t>
      </w:r>
    </w:p>
    <w:p>
      <w:r>
        <w:t>I. RELATORIO</w:t>
      </w:r>
    </w:p>
    <w:p>
      <w:r>
        <w:t>1. OBJETO DO PARECER REFERENCIAL</w:t>
      </w:r>
    </w:p>
    <w:p>
      <w:r>
        <w:t>1. O presente Parecer Referencial se aplica a procedimentos de adesão à ata de registro de preços (ARP), fundamentadas na Lei n. 14.133, de 2021, e no Decreto n. 11.462, de 2023.</w:t>
      </w:r>
    </w:p>
    <w:p>
      <w:r>
        <w:t>2. Esta manifestação não se aplica aos procedimentos de adesão à ata de registro de preços:</w:t>
      </w:r>
    </w:p>
    <w:tbl>
      <w:tblPr>
        <w:tblW w:type="auto" w:w="0"/>
        <w:tblLook w:firstColumn="1" w:firstRow="1" w:lastColumn="0" w:lastRow="0" w:noHBand="0" w:noVBand="1" w:val="04A0"/>
      </w:tblPr>
      <w:tblGrid>
        <w:gridCol w:w="8640"/>
      </w:tblGrid>
      <w:tr>
        <w:tc>
          <w:tcPr>
            <w:tcW w:type="dxa" w:w="8640"/>
          </w:tcPr>
          <w:p/>
        </w:tc>
      </w:tr>
      <w:tr>
        <w:tc>
          <w:tcPr>
            <w:tcW w:type="dxa" w:w="8640"/>
          </w:tcPr>
          <w:p>
            <w:r>
              <w:t>a. que tenham como objeto solução de tecnologia da informação - TIC; b. que tenham como objeto obras e serviços de engenharia; c. que tenham como objeto aquisição de bens para entrega imediata; d. cujo valor da contratação esteja abaixo de 1% do valor caracterizado pela lei como contratação de grande vulto (art. 6°, XXII, da Lei n. 14.133, de 2021), considerada a atualização anual legalmente exigida; e. regidos pela Lei n. 8.666, de 1993, e pelo Decreto n. 7.892, de 2013, em razão da desnecessidade de análise jurídica para esses casos, conforme Orientação Normativa AGU n. 64.</w:t>
            </w:r>
          </w:p>
        </w:tc>
      </w:tr>
    </w:tbl>
    <w:p/>
    <w:p>
      <w:r>
        <w:t>a. que tenham como objeto solução de tecnologia da informação - TIC;</w:t>
      </w:r>
    </w:p>
    <w:p>
      <w:r>
        <w:t>b. que tenham como objeto obras e serviços de engenharia;</w:t>
      </w:r>
    </w:p>
    <w:p>
      <w:r>
        <w:t>c. que tenham como objeto aquisição de bens para entrega imediata;</w:t>
      </w:r>
    </w:p>
    <w:p>
      <w:r>
        <w:t>d. cujo valor da contratação esteja abaixo de 1% do valor caracterizado pela lei como contratação de grande vulto (art. 6°, XXII, da Lei n. 14.133, de 2021), considerada a atualização anual legalmente exigida;</w:t>
      </w:r>
    </w:p>
    <w:p>
      <w:r>
        <w:t>e. regidos pela Lei n. 8.666, de 1993, e pelo Decreto n. 7.892, de 2013, em razão da desnecessidade de análise jurídica para esses casos, conforme Orientação Normativa AGU n. 64.</w:t>
      </w:r>
    </w:p>
    <w:p>
      <w:r>
        <w:t>3. Registre-se que os procedimentos para adesão à ARP que tenham como objeto soluções de TIC ou obras e serviços de engenharia devem obedecer a requisitos específicos, não analisados neste parecer referencial.</w:t>
      </w:r>
    </w:p>
    <w:p>
      <w:r>
        <w:t>4. A Orientação Normativa AGU n. 88, de 2024, dispensou a análise jurídica nos procedimentos de adesão para aquisição de bens para entrega imediata, bem como aqueles cujo valor não supere 1% do valor considerado como de grande vulto pela legislação, nos termos do inciso III:</w:t>
      </w:r>
    </w:p>
    <w:p>
      <w:r>
        <w:t>I) No âmbito do Sistema de Registro de Preços, as competências do art. 53 da Lei n° 14.133, de 2021, e do art. 11, inciso VI, alínea "a", da Lei Complementar n° 73, de 1993, relativas ao controle de legalidade mediante análise jurídica do processo de contratação, são da exclusiva alçada da unidade consultiva que presta assessoramento jurídico ao órgão gerenciador do registro de preços.</w:t>
      </w:r>
    </w:p>
    <w:p>
      <w:r>
        <w:t>II) O órgão não participante, em obediência ao § 4° do art. 53 da Lei n° 14.133, de 2021, deverá submeter o processo de adesão à análise jurídica do respectivo órgão de assessoramento jurídico, hipótese em que este limitar-se-á a examinar a legalidade em relação aos requisitos da adesão.</w:t>
      </w:r>
    </w:p>
    <w:p>
      <w:r>
        <w:t>III) A análise a que se refere o inciso II desta orientação normativa é dispensada, nos termos do § 5° do art. 53 da Lei n° 14.133, de 2021, nos casos de adesão à ata de registro de preço para contratação: a) voltada à aquisição de bens para entrega imediata; ou b) na hipótese de o valor da contratação por adesão não superar 1% do valor caracterizado pela lei como contratação de grande vulto (art. 6°, XXII, da Lei n° 14.133, de 2021), considerada a atualização anual legalmente exigida.</w:t>
      </w:r>
    </w:p>
    <w:p>
      <w:r>
        <w:t>IV) Não será necessária análise e manifestação jurídica específica nos casos em que o órgão de assessoramento jurídico do órgão não participante do registro de preço emitir manifestação jurídica referencial acerca do procedimento de adesão a ata de registro de preço.</w:t>
      </w:r>
    </w:p>
    <w:p>
      <w:r>
        <w:t>V) Os órgãos participante e não participante do sistema de registro de preços poderão solicitar manifestação específica da respectiva unidade de consultoria jurídica para que lhe preste assessoramento acerca da juridicidade do processo de contratação, desde que haja dúvida de ordem jurídica objetivamente exposta no processo.</w:t>
      </w:r>
    </w:p>
    <w:p>
      <w:r>
        <w:t>5. O ente assessorado deverá atestar, de forma expressa, que o caso concreto se enquadra nas hipóteses deste parecer, nos termos do art. 3°, § 2°, da Portaria PGF/AGU n. 262, de 2017. Além disso, deve ser utilizada a minuta de contrato aprovada de termo de referência e lista de verificação atualizados e disponibilizados pela AGU, em seu sítio eletrônico.</w:t>
      </w:r>
    </w:p>
    <w:p>
      <w:r>
        <w:t>6. A Administração poderá, a qualquer tempo, provocar a atuação do órgão de consultoria nas dúvidas jurídicas específicas que surgirem nos processos desta espécie, bem como para atualização do presente parecer.</w:t>
      </w:r>
    </w:p>
    <w:p>
      <w:r>
        <w:t>7. Recomenda-se, ainda, que o planejamento da contratação seja realizado em conformidade com as diretrizes constantes do Instrumento de Padronização dos Procedimentos de Contratação (IPP), que se encontra disponível em:https://www.gov.br/agu/pt-br /comunicação/notícias/instrumento-de-padronização-dos- procedimentos.pdf. Além disso, devem ser juntadas aos autos as declarações contidas no referido documento.</w:t>
      </w:r>
    </w:p>
    <w:p>
      <w:r>
        <w:t>Recomendação:</w:t>
      </w:r>
    </w:p>
    <w:p>
      <w:r>
        <w:t>8. O ente assessorado deverá atestar, de forma expressa:</w:t>
      </w:r>
    </w:p>
    <w:tbl>
      <w:tblPr>
        <w:tblW w:type="auto" w:w="0"/>
        <w:tblLook w:firstColumn="1" w:firstRow="1" w:lastColumn="0" w:lastRow="0" w:noHBand="0" w:noVBand="1" w:val="04A0"/>
      </w:tblPr>
      <w:tblGrid>
        <w:gridCol w:w="8640"/>
      </w:tblGrid>
      <w:tr>
        <w:tc>
          <w:tcPr>
            <w:tcW w:type="dxa" w:w="8640"/>
          </w:tcPr>
          <w:p/>
        </w:tc>
      </w:tr>
      <w:tr>
        <w:tc>
          <w:tcPr>
            <w:tcW w:type="dxa" w:w="8640"/>
          </w:tcPr>
          <w:p>
            <w:r>
              <w:t>a. que o caso concreto se enquadra na hipótese deste parecer, nos termos do art. 3°, § 2°, da Portaria PGF/AGU n. 262, de 2017; b. o atendimento às recomendações deste parecer, nos termos do modelo de atestado de adequação que consta ao final deste parecer; c. a utilização dos modelos de termo de referência e lista de verificação atualizados, disponibilizados pela Advocacia-Geral da União (AGU), em seu sítio eletrônico; d. qual modelo foi utilizado;</w:t>
            </w:r>
          </w:p>
        </w:tc>
      </w:tr>
      <w:tr>
        <w:tc>
          <w:tcPr>
            <w:tcW w:type="dxa" w:w="8640"/>
          </w:tcPr>
          <w:p>
            <w:r>
              <w:t>e. as modificações, exclusões, inclusões ou adaptações eventualmente efetuadas, acompanhadas das respectivas justificativas; f. observar o IPP e juntar as respectivas declarações.</w:t>
            </w:r>
          </w:p>
        </w:tc>
      </w:tr>
    </w:tbl>
    <w:p/>
    <w:p>
      <w:r>
        <w:t>a. que o caso concreto se enquadra na hipótese deste parecer, nos termos do art. 3°, § 2°, da Portaria PGF/AGU n. 262, de 2017;</w:t>
      </w:r>
    </w:p>
    <w:p>
      <w:r>
        <w:t>b. o atendimento às recomendações deste parecer, nos termos do modelo de atestado de adequação que consta ao final deste parecer;</w:t>
      </w:r>
    </w:p>
    <w:p>
      <w:r>
        <w:t>c. a utilização dos modelos de termo de referência e lista de verificação atualizados, disponibilizados pela Advocacia-Geral da União (AGU), em seu sítio eletrônico;</w:t>
      </w:r>
    </w:p>
    <w:p>
      <w:r>
        <w:t>d. qual modelo foi utilizado;</w:t>
      </w:r>
    </w:p>
    <w:p>
      <w:r>
        <w:t>e. as modificações, exclusões, inclusões ou adaptações eventualmente efetuadas, acompanhadas das respectivas justificativas;</w:t>
      </w:r>
    </w:p>
    <w:p>
      <w:r>
        <w:t>f. observar o IPP e juntar as respectivas declarações.</w:t>
      </w:r>
    </w:p>
    <w:p>
      <w:r>
        <w:t>2. CABIMENTO DA MANIFESTAÇÃO JURÍDICA REFERENCIAL</w:t>
      </w:r>
    </w:p>
    <w:p>
      <w:r>
        <w:t>9. A Orientação Normativa AGU n. 55, de 2014, autoriza a adoção de manifestação jurídica referencial, que dispensa a análise individualizada de matérias que envolvam questões jurídicas idênticas e recorrentes, nos seguintes termos:</w:t>
      </w:r>
    </w:p>
    <w:p>
      <w: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10. Trata-se de medida adequada para orientar a Administração, sendo capaz de conferir segurança jurídica à sua atuação, sem a necessidade de análise individualizada desses processos pelo órgão jurídico, salvo se houver dúvida jurídica.</w:t>
      </w:r>
    </w:p>
    <w:p>
      <w:r>
        <w:t>11. A manifestação jurídica referencial é importante ferramenta para otimizar e racionalizar o trabalho, viabilizando maior dedicação às questões complexas, prioritárias, estratégicas e especializadas, que demandam uma atuação qualificada.</w:t>
      </w:r>
    </w:p>
    <w:p>
      <w:r>
        <w:t>12. Para a elaboração de manifestação jurídica referencial, devem ser observados os requisitos da Portaria PGF n. 262, de 2017, editada para disciplinar a questão: i) o volume de processos em matérias idênticas e recorrentes que acarrete sobrecarga de trabalho devidamente comprovada e venha a impactar, justificadamente, a atuação do órgão consultivo ou a celeridade dos serviços administrativos e, ii) a atividade jurídica exercida deve se restringir à verificação do atendimento das exigências legais a partir da simples conferência de documentos.</w:t>
      </w:r>
    </w:p>
    <w:p>
      <w:r>
        <w:t>13. Registra-se, assim, que a análise dos procedimentos de adesão à ata de registro de preços, com fundamento no art. 86 da Lei n° 14.133, de 2021, e nos arts. 31 a 33 do Decreto n° 11.462, de 2023, representa significativo volume de processos e a análise jurídica se restringe à simples conferência de documentos e prazos, sem questões jurídicas relevantes, enquadrando-se nas hipóteses autorizadas pela Orientação Normativa AGU n° 55, de 2014, e pela Portaria PGF n° 262, de 2017.</w:t>
      </w:r>
    </w:p>
    <w:p>
      <w:r>
        <w:t>14. Ademais, a Orientação Normativa AGU n. 88, de 2024, acima transcrita, prevê expressamente a possibilidade de manifestação jurídica referencial para os casos de adesão à ata de registro de preços.</w:t>
      </w:r>
    </w:p>
    <w:p>
      <w:r>
        <w:t>3. LIMITES DA ANÁLISE JURÍDICA</w:t>
      </w:r>
    </w:p>
    <w:p>
      <w:r>
        <w:t>15. Esta manifestação jurídica tem o objetivo de contribuir com o controle prévio da legalidade, conforme previsto no art. 53 da Lei n. 14.133, de 2021. Questões técnicas, como o detalhamento do objeto da contratação, suas características, requisitos e especificações, são de atribuição da Administração (art. 53 da Lei n. 14.133, de 2021, e Enunciado BPC n. 7 do Manual de Boas Práticas Consultivas da Advocacia-Geral da União).</w:t>
      </w:r>
    </w:p>
    <w:p>
      <w:r>
        <w:t>16. Importante: parte-se da premissa de que o órgão de assessoramento jurídico do órgão gerenciador examinou a legalidade do procedimento de licitação ou contratação direta que originou a ata objeto da adesão (art. 7°, §4°, do Decreto n. 11.462, de 2023, e ON AGU n. 88, de 2024), de modo que esta manifestação se restringe ao exame da viabilidade jurídica da pretensa contratação, por adesão, de órgão não participante do SRP.</w:t>
      </w:r>
    </w:p>
    <w:p>
      <w:r>
        <w:t>17. Exclui-se da competência da ELIC o exame de legislação específica relacionada à atividade-fim do ente assessorado que seja aplicável ao caso concreto, nos termos do art. 2° da Portaria Normativa PGF/AGU n. 73, de 2025. Tal análise deve ser feita pelo órgão de assessoramento jurídico local.</w:t>
      </w:r>
    </w:p>
    <w:p>
      <w:r>
        <w:t>18. A presente análise pressupõe a adoção dos modelos da AGU e o uso do Instrumento de Padronização dos Procedimentos de Contratação (IPP).</w:t>
      </w:r>
    </w:p>
    <w:p>
      <w:r>
        <w:t>19. Não há determinação Legal de se fiscalizar o cumprimento das recomendações feitas neste parecer, conforme Boa Prática Consultiva n. 5. Caso a autoridade administrativa deixe de acatá-las, assume, inteiramente, a responsabilidade por sua conduta.</w:t>
      </w:r>
    </w:p>
    <w:p>
      <w:r>
        <w:t>II. DA FUNDAMENTAÇÃO</w:t>
      </w:r>
    </w:p>
    <w:p>
      <w:r>
        <w:t>4. NORMAS DE GOVERNANÇA</w:t>
      </w:r>
    </w:p>
    <w:p>
      <w:r>
        <w:t>20. Deve ser observado o Decreto n. 10.193, de 2019, que estabelece limites e instâncias de governança para a contratação de bens e serviços no âmbito da Administração Pública Federal, para as atividades de custeio. A Portaria ME n. 7.828, de 2022, estabelece normas complementares para o cumprimento do Decreto.</w:t>
      </w:r>
    </w:p>
    <w:p>
      <w:r>
        <w:t>21. Ressalte-se que as disposições do Decreto n. 10.193, de 2019, não se aplicam às agências reguladoras, nos termos de seu art. 1°, parágrafo único, II.</w:t>
      </w:r>
    </w:p>
    <w:p>
      <w:r>
        <w:t>22. É necessário, ainda, atestar que a contratação está contemplada no Plano de Contratações Anual da entidade e alinhada com o Plano Diretor de Logística Sustentável, nos termos do Decreto n.° 10.947, de 2022, art. 7° da IN SEGES/ME n. 81/2022 e Portaria SEGES/ME n. 8.678, de 2021</w:t>
      </w:r>
    </w:p>
    <w:p>
      <w:r>
        <w:t>23. Também deverá ser cumprido o Decreto n. 8.540, de 2015, que trata das medidas de racionalização do gasto público nas contratações para aquisição de bens e prestação de serviços pela Administração.</w:t>
      </w:r>
    </w:p>
    <w:p>
      <w:r>
        <w:t>Recomendação:</w:t>
      </w:r>
    </w:p>
    <w:p>
      <w:r>
        <w:t>24.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a autorização para celebrar a contratação, para as atividades de custeio (art. 3° do Decreto n. 10.193, de 2019); b. juntar tal autorização aos autos antes da efetiva contratação; c. certificar-se da obediência das regras internas de competência (art. 3° da Portaria ME n. 7.828, de 2022); d. atestar a compatibilidade da contratação com o Plano de Contratações Anual e com o Plano Diretor de Logística Sustentável da entidade; e. manifestar-se acerca da essencialidade e o interesse público da contratação (art. 3° do Decreto n. 8.540, de 2015).</w:t>
            </w:r>
          </w:p>
        </w:tc>
      </w:tr>
    </w:tbl>
    <w:p/>
    <w:p>
      <w:r>
        <w:t>a. comprovar a autorização para celebrar a contratação, para as atividades de custeio (art. 3° do Decreto n. 10.193, de 2019);</w:t>
      </w:r>
    </w:p>
    <w:p>
      <w:r>
        <w:t>b. juntar tal autorização aos autos antes da efetiva contratação;</w:t>
      </w:r>
    </w:p>
    <w:p>
      <w:r>
        <w:t>c. certificar-se da obediência das regras internas de competência (art. 3° da Portaria ME n. 7.828, de 2022);</w:t>
      </w:r>
    </w:p>
    <w:p>
      <w:r>
        <w:t>d. atestar a compatibilidade da contratação com o Plano de Contratações Anual e com o Plano Diretor de Logística Sustentável da entidade;</w:t>
      </w:r>
    </w:p>
    <w:p>
      <w:r>
        <w:t>e. manifestar-se acerca da essencialidade e o interesse público da contratação (art. 3° do Decreto n. 8.540, de 2015).</w:t>
      </w:r>
    </w:p>
    <w:p>
      <w:r>
        <w:t>5. PLANEJAMENTO DA CONTRATAÇÃO</w:t>
      </w:r>
    </w:p>
    <w:p>
      <w:r>
        <w:t>25. O artigo 18 da Lei n. 14.133, de 2021, determina que o planejamento da contratação deve se compatibilizar com o plano de contratações anual e com as leis orçamentárias, bem como abordar todas as considerações técnicas, mercadológicas e de gestão que podem interferir na contratação. O art. 18 traz, ainda, as providências e documentos que devem instruir a fase de planejamento.</w:t>
      </w:r>
    </w:p>
    <w:p>
      <w:r>
        <w:t>26. Para o adequado planejamento, o gestor deve observar as diretrizes e determinações constantes da Lei n. 14.133, de 2021, do Decreto n. 10.947, de 2022 e das IN SEGES/ME n. 58/2022 e IN SEGES/ME n. 81/2022.</w:t>
      </w:r>
    </w:p>
    <w:p>
      <w:r>
        <w:t>27. Sobre o termo de referência, o art. 11, parágrafo único, da Instrução Normativa SEGES/ME n. 81, de 2022, estabeleceu a possibilidade de sua dispensa em caso de adesão à ata de registro de preços:</w:t>
      </w:r>
    </w:p>
    <w:p>
      <w:r>
        <w:t>Art. 11. A elaboração do TR é dispensada na hipótese do inciso III do art. 75 da Lei n. 14.133, de 2021, nas adesões a atas de registro de preços e nos casos de prorrogações dos contratos de serviços e fornecimentos contínuos.</w:t>
      </w:r>
    </w:p>
    <w:p>
      <w:r>
        <w:t>Parágrafo único. Nas adesões a atas de registro de preços de que trata o caput, o estudo técnico preliminar deverá conter as informações que bem caracterizam a contratação, tais como o quantitativo demandado e o local de entrega do bem ou de prestação do serviço. (Grifos não originais)</w:t>
      </w:r>
    </w:p>
    <w:p>
      <w:r>
        <w:t>28. Recomenda-se observar as orientações do Instrumento de Padronização dos Procedimentos de Contratação (IPP) para a elaboração dos documentos da fase de planejamento.</w:t>
      </w:r>
    </w:p>
    <w:p>
      <w:r>
        <w:t>29. Embora os documentos dessa fase sejam de natureza essencialmente técnica, seguem observações a título de orientação jurídica.</w:t>
      </w:r>
    </w:p>
    <w:p>
      <w:r>
        <w:t>5.1 Documento de Formalização da Demanda (DFD)</w:t>
      </w:r>
    </w:p>
    <w:p>
      <w:r>
        <w:t>30. O Documento de Formalização da Demanda é instrumento obrigatório para a contratação por adesão e deve trazer os conteúdos do art. 8° do Decreto n. 10.947, de 2022, especialmente a justificativa da necessidade da contratação, o nome da área requisitante ou técnica com a identificação do responsável e a indicação da data pretendida para a conclusão da contratação.</w:t>
      </w:r>
    </w:p>
    <w:p>
      <w:r>
        <w:t>Recomendação:</w:t>
      </w:r>
    </w:p>
    <w:p>
      <w:r>
        <w:t>31.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DFD com todos os conteúdos do art. 8° do Decreto n. 10.947, de 2022, especialmente a justificativa da necessidade da contratação, o nome da área requisitante ou técnica com a identificação do responsável e a indicação da data pretendida para a conclusão da contratação.</w:t>
            </w:r>
          </w:p>
        </w:tc>
      </w:tr>
    </w:tbl>
    <w:p/>
    <w:p>
      <w:r>
        <w:t>a. elaborar o DFD com todos os conteúdos do art. 8° do Decreto n. 10.947, de 2022, especialmente a justificativa da necessidade da contratação, o nome da área requisitante ou técnica com a identificação do responsável e a indicação da data pretendida para a conclusão da contratação.</w:t>
      </w:r>
    </w:p>
    <w:p>
      <w:r>
        <w:t>5.2 Estudo Técnico Preliminar (ETP)</w:t>
      </w:r>
    </w:p>
    <w:p>
      <w:r>
        <w:t>32. A IN SEGES/ME n. 58, de 2022, estabelece que a Administração deverá elaborar estudo técnico preliminar da contratação, com os conteúdos previstos no art. 9°, em especial:</w:t>
      </w:r>
    </w:p>
    <w:p>
      <w:r>
        <w:t>° descrição da necessidade da contratação, considerado o problema a ser resolvido sob a perspectiva do interesse público (inc. I);</w:t>
      </w:r>
    </w:p>
    <w:p>
      <w:r>
        <w:t>° estimativadas quantidades a serem contratadas, acompanhada das memórias de cálculo e dos documentos que lhe dão suporte, considerando a interdependência com outras contratações, de modo a possibilitar economia de escala (inc. V);</w:t>
      </w:r>
    </w:p>
    <w:p>
      <w:r>
        <w:t>° estimativado valor da contratação, acompanhada dos preços unitários referenciais, das memórias de cálculo e dos documentos que lhe dão suporte, que poderão constar de anexo classificado, se a Administração optar por preservar o seu sigilo até a conclusão da licitação (inc. VI);</w:t>
      </w:r>
    </w:p>
    <w:p>
      <w:r>
        <w:t>° justificativas para o parcelamento ou não da solução (inc. VII); e</w:t>
      </w:r>
    </w:p>
    <w:p>
      <w:r>
        <w:t>° posicionamento conclusivo sobre a adequação da contratação para o atendimento da necessidade a que se destina (inc. XIII).</w:t>
      </w:r>
    </w:p>
    <w:p>
      <w:r>
        <w:t>33. Atenção: no caso de adesão à ata de registro de preço, o ETP deve conter as informações que bem caracterizam a contratação, tais como o quantitativo demandado e o local de entrega do bem ou de prestação do serviço (art. 11, parágrafo único, da IN SEGES/ME n. 81, de 2022).</w:t>
      </w:r>
    </w:p>
    <w:p>
      <w:r>
        <w:t>34. Importante: o art. 9°, da IN SEGES/ME n. 58, de 2022, estabelece que a não previsão de qualquer um dos conteúdos ali descritos deverá ser justificada no próprio documento (art. 9°, §1°).</w:t>
      </w:r>
    </w:p>
    <w:p>
      <w:r>
        <w:t>Recomendação:</w:t>
      </w:r>
    </w:p>
    <w:p>
      <w:r>
        <w:t>35.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o ETP contendo todas as previsões necessárias, nos termos acima informados; b. inserir no ETP as informações que bem caracterizam a contratação, tais como o quantitativo demandado e o local de entrega do bem ou de prestação do serviço; c. elaborar o ETP no Sistema ETP Digital, nos termos do art. 4° da IN SEGES/ME n. 58/2022.</w:t>
            </w:r>
          </w:p>
        </w:tc>
      </w:tr>
    </w:tbl>
    <w:p/>
    <w:p>
      <w:r>
        <w:t>a. elaborar o ETP contendo todas as previsões necessárias, nos termos acima informados;</w:t>
      </w:r>
    </w:p>
    <w:p>
      <w:r>
        <w:t>b. inserir no ETP as informações que bem caracterizam a contratação, tais como o quantitativo demandado e o local de entrega do bem ou de prestação do serviço;</w:t>
      </w:r>
    </w:p>
    <w:p>
      <w:r>
        <w:t>c. elaborar o ETP no Sistema ETP Digital, nos termos do art. 4° da IN SEGES/ME n. 58/2022.</w:t>
      </w:r>
    </w:p>
    <w:p>
      <w:r>
        <w:t>5.3 Gerenciamento de riscos</w:t>
      </w:r>
    </w:p>
    <w:p>
      <w:r>
        <w:t>36. O mapa de riscos deve conter a análise dos riscos que possam comprometer o sucesso da licitação e a boa execução contratual (art. 18, X, da Lei n. 14.133, de 2021). Deve ser elaborado no módulo de Gestão de Riscos Digital, conforme previsto no item 5.2 do Instrumento de Padronização dos Procedimentos de Contratação, com a indicação da probabilidade, impacto, responsável e ações preventiva e de contingência para cada um dos riscos (disponível em https ://www.gov. br/agu /pt-br/composicao/cgu/cgu/guias/instrumento-de-padronizacao-dos- procedimento-de-contratacao-agu-fev-2024.pdf).</w:t>
      </w:r>
    </w:p>
    <w:p>
      <w:r>
        <w:t>37. O Mapa de Riscos não se confunde com a matriz de risco, que é cláusula contratual caracterizadora do equilíbrio econômico-financeiro inicial do contrato (art. 6°, XXVII, da Lei n. 14.133, de 2021).</w:t>
      </w:r>
    </w:p>
    <w:p>
      <w:r>
        <w:t>Recomendação:</w:t>
      </w:r>
    </w:p>
    <w:p>
      <w:r>
        <w:t>38.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e juntar aos autos o mapa de riscos, adotando-se, para todas as fases da contratação, o modelo disponível no módulo de Gestão de Riscos Digital, com indicação do risco, da probabilidade, do impacto, do responsável e das ações preventiva e de contingência (art. 18, inciso X, da Lei n. 14.133, de 2021, e item 5.2 do IPP).</w:t>
            </w:r>
          </w:p>
        </w:tc>
      </w:tr>
    </w:tbl>
    <w:p/>
    <w:p>
      <w:r>
        <w:t>a. elaborar e juntar aos autos o mapa de riscos, adotando-se, para todas as fases da contratação, o modelo disponível no módulo de Gestão de Riscos Digital, com indicação do risco, da probabilidade, do impacto, do responsável e das ações preventiva e de contingência (art. 18, inciso X, da Lei n. 14.133, de 2021, e item 5.2 do IPP).</w:t>
      </w:r>
    </w:p>
    <w:p>
      <w:r>
        <w:t>6. DA ADESÃO À ATA DE REGISTRO DE PREÇOS</w:t>
      </w:r>
    </w:p>
    <w:p>
      <w:r>
        <w:t>39. A adesão à ata de registro está prevista no art.86 da Lei n. 14.133, de 2021. A regulamentação foi realizada pelo Decreto n. 11.462, de 2023, cujos artigos 13, II, e 31 a 33 tratam dos requisitos para a adesão, abaixo apresentados.</w:t>
      </w:r>
    </w:p>
    <w:p>
      <w:r>
        <w:t>6.1 Utilização da ata por órgãos ou entidades não participantes</w:t>
      </w:r>
    </w:p>
    <w:p>
      <w:r>
        <w:t>40. É possível a adesão tanto pelas entidades não participantes do registro de preços como por entidades participantes (art. 86, §2°, da Lei n. 14.133, de 2021 e art. 31, caput, e §4°, do Decreto n. 11.462, de 2023).</w:t>
      </w:r>
    </w:p>
    <w:p>
      <w:r>
        <w:t>41. No caso de entidades participantes, admite-se a adesão em relação a itens para os quais não tenham quantitativo registrado, observados os requisitos previstos no art. 31 do decreto (art. 31, §4°, do Decreto n. 11.462, de 2023).</w:t>
      </w:r>
    </w:p>
    <w:p>
      <w:r>
        <w:t>Recomendação:</w:t>
      </w:r>
    </w:p>
    <w:p>
      <w:r>
        <w:t>42.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não ser participante do certame que originou a ata, ou, b. caso seja participante, que a adesão ocorrerá em relação a itens para os quais não tem quantitativo registrado.</w:t>
            </w:r>
          </w:p>
        </w:tc>
      </w:tr>
    </w:tbl>
    <w:p/>
    <w:p>
      <w:r>
        <w:t>a. comprovar não ser participante do certame que originou a ata, ou,</w:t>
      </w:r>
    </w:p>
    <w:p>
      <w:r>
        <w:t>b. caso seja participante, que a adesão ocorrerá em relação a itens para os quais não tem quantitativo registrado.</w:t>
      </w:r>
    </w:p>
    <w:p>
      <w:r>
        <w:t>6.1 Justificativa da vantajosidade da adesão</w:t>
      </w:r>
    </w:p>
    <w:p>
      <w:r>
        <w:t>43. A necessidade de justificativa da vantagem da adesão está prevista no art. 86, §2°, I, da Lei n. 14.133, de 2021, e no art. 31, I, do Decreto n. 11.462, de 2023, e deve ser apresentada "inclusive em situações de provável desabastecimento ou de descontinuidade de serviço público" .</w:t>
      </w:r>
    </w:p>
    <w:p>
      <w:r>
        <w:t>Recomendação:</w:t>
      </w:r>
    </w:p>
    <w:p>
      <w:r>
        <w:t>44.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elaborar justificativa da vantagem da adesão, considerando, ao menos, os seguintes elementos:  circunstâncias do caso concreto; soluções  alternativas possíveis; consequências  práticas da adesão;  eventuais obstáculos e dificuldades reais do gestor e exigências das políticas públicas a seu cargo, caso se mostrem relevantes na situação concreta; e  orientações eventualmente vigentes ao tempo da tomada de decisão, caso tenham pertinência com adesão pretendida.</w:t>
            </w:r>
          </w:p>
        </w:tc>
      </w:tr>
    </w:tbl>
    <w:p/>
    <w:p>
      <w:r>
        <w:t>a. elaborar justificativa da vantagem da adesão, considerando, ao menos, os seguintes elementos:</w:t>
      </w:r>
    </w:p>
    <w:p>
      <w:r>
        <w:t> circunstâncias do caso concreto; soluções</w:t>
      </w:r>
    </w:p>
    <w:p>
      <w:r>
        <w:t> alternativas possíveis; consequências</w:t>
      </w:r>
    </w:p>
    <w:p>
      <w:r>
        <w:t> práticas da adesão;</w:t>
      </w:r>
    </w:p>
    <w:p>
      <w:r>
        <w:t> eventuais obstáculos e dificuldades reais do gestor e exigências das políticas públicas a seu cargo, caso se mostrem relevantes na situação concreta; e</w:t>
      </w:r>
    </w:p>
    <w:p>
      <w:r>
        <w:t> orientações eventualmente vigentes ao tempo da tomada de decisão, caso tenham pertinência com adesão pretendida.</w:t>
      </w:r>
    </w:p>
    <w:p>
      <w:r>
        <w:t>6.3 Compatibilidade dos valores registrados com os praticados pelo mercado</w:t>
      </w:r>
    </w:p>
    <w:p>
      <w:r>
        <w:t>45. A Administração deve demonstrar a compatibilidade dos preços registrados com os valores praticados pelo mercado, observada a potencial economia de escala e as peculiaridades do local de execução do objeto (art. 86, §2°, II, da Lei n. 14.133, de 2021 e art. 31, II, do Decreto n. 11.462, de 2023).</w:t>
      </w:r>
    </w:p>
    <w:p>
      <w:r>
        <w:t>46. Atenção: essa compatibilidade deve considerar as orientações do art. 23 da Lei n. 14.133, de 2021, bem como da IN SEGES/ME n. 65, de 2021, para aquisição de bens e contratação de serviços em geral.</w:t>
      </w:r>
    </w:p>
    <w:p>
      <w:r>
        <w:t>Recomendação:</w:t>
      </w:r>
    </w:p>
    <w:p>
      <w:r>
        <w:t>47.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realizar pesquisa de preços; b. emitir manifestação técnica conclusiva, com análise crítica dos preços obtidos; c. atestar a compatibilidade dos preços registrados com os valores praticados pelo mercado.</w:t>
            </w:r>
          </w:p>
        </w:tc>
      </w:tr>
    </w:tbl>
    <w:p/>
    <w:p>
      <w:r>
        <w:t>a. realizar pesquisa de preços;</w:t>
      </w:r>
    </w:p>
    <w:p>
      <w:r>
        <w:t>b. emitir manifestação técnica conclusiva, com análise crítica dos preços obtidos;</w:t>
      </w:r>
    </w:p>
    <w:p>
      <w:r>
        <w:t>c. atestar a compatibilidade dos preços registrados com os valores praticados pelo mercado.</w:t>
      </w:r>
    </w:p>
    <w:p>
      <w:r>
        <w:t>6.4 Prévias consultas e aceitação prévia do fornecedor e do órgão gerenciador</w:t>
      </w:r>
    </w:p>
    <w:p>
      <w:r>
        <w:t>48. A Administração deve providenciar a consulta e aceitação da demanda por parte do fornecedor, como condição para a adesão, nos termos do art. 86, §2°, III, da Lei n. 14.133, de 2021 e art. 31, III, do Decreto n. 11.462, de 2023.</w:t>
      </w:r>
    </w:p>
    <w:p>
      <w:r>
        <w:t>49. Alerta-se: somente após a formalização da aceitação do fornecedor é que será providenciada consulta ao órgão gerenciador, que é indispensável.</w:t>
      </w:r>
    </w:p>
    <w:p>
      <w:r>
        <w:t>Recomendação:</w:t>
      </w:r>
    </w:p>
    <w:p>
      <w:r>
        <w:t>50.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juntar aos autos os documentos que comprovem a consulta e aceitação do fornecedor; b. juntar aos autos os documentos que comprovem a aceitação da adesão pelo órgão gerenciador.</w:t>
            </w:r>
          </w:p>
        </w:tc>
      </w:tr>
    </w:tbl>
    <w:p/>
    <w:p>
      <w:r>
        <w:t>a. juntar aos autos os documentos que comprovem a consulta e aceitação do fornecedor;</w:t>
      </w:r>
    </w:p>
    <w:p>
      <w:r>
        <w:t>b. juntar aos autos os documentos que comprovem a aceitação da adesão pelo órgão gerenciador.</w:t>
      </w:r>
    </w:p>
    <w:p>
      <w:r>
        <w:t>6.5 Prazo para efetivação da aquisição/contratação e vigência da ata</w:t>
      </w:r>
    </w:p>
    <w:p>
      <w:r>
        <w:t>51. O art. 31, §2°, do Decreto n. 11.462, de 2023, estabelece que o órgão não participante tem o prazo de até noventa dias, a partir da autorização do órgão gerenciador, para efetivar a aquisição ou a contratação solicitada ou, excepcionalmente, solicitar sua prorrogação. Eventual pedido de prorrogação deve respeitar o limite temporal de vigência da ata de registro de preços (art. 31, §3°).</w:t>
      </w:r>
    </w:p>
    <w:p>
      <w:r>
        <w:t>52. Nesse caso, o processo deve ser instruído com a aceitação da prorrogação do prazo, que deve ser formalizada pelo órgão gerenciador.</w:t>
      </w:r>
    </w:p>
    <w:p>
      <w:r>
        <w:t>Recomendação:</w:t>
      </w:r>
    </w:p>
    <w:p>
      <w:r>
        <w:t>53.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observar o prazo de até 90 dias, a partir da autorização do órgão gerenciador, para efetivar a aquisição ou a contratação pretendida; b. se for o caso, solicitar a prorrogação do prazo, juntando a aceitação pelo órgão gerenciador, sob pena de não ser possível proceder a adesão; c. realizar a adesão, inclusive se houver prorrogação, durante a vigência da ARP.</w:t>
            </w:r>
          </w:p>
        </w:tc>
      </w:tr>
    </w:tbl>
    <w:p/>
    <w:p>
      <w:r>
        <w:t>a. observar o prazo de até 90 dias, a partir da autorização do órgão gerenciador, para efetivar a aquisição ou a contratação pretendida;</w:t>
      </w:r>
    </w:p>
    <w:p>
      <w:r>
        <w:t>b. se for o caso, solicitar a prorrogação do prazo, juntando a aceitação pelo órgão gerenciador, sob pena de não ser possível proceder a adesão;</w:t>
      </w:r>
    </w:p>
    <w:p>
      <w:r>
        <w:t>c. realizar a adesão, inclusive se houver prorrogação, durante a vigência da ARP.</w:t>
      </w:r>
    </w:p>
    <w:p>
      <w:r>
        <w:t>6.6 Limitações de quantitativos permitidos</w:t>
      </w:r>
    </w:p>
    <w:p>
      <w:r>
        <w:t>54. Para que seja admitida a adesão à ata de registro de preços, o órgão gerenciador deve observar os seguintes limites quantitativos:</w:t>
      </w:r>
    </w:p>
    <w:p>
      <w:r>
        <w:t>a. em relação à entidade aderente individualmente: não pode exceder a 50% (cinquenta por cento) dos quantitativos dos itens registrados para o órgão ou a entidade gerenciadora e para os órgãos ou as entidades participantes (art. 86, §4°, da Lei n. 14.133, de 2021, e art. 32, I, do Decreto n. 11.462, de 2023); e</w:t>
      </w:r>
    </w:p>
    <w:p>
      <w:r>
        <w:t>b. em relação a todas as adesões admitidas para determinado item: não pode exceder, na totalidade, ao dobro do quantitativo de cada item registrado na ata de registro de preços para o órgão ou a entidade gerenciadora e os órgãos ou as entidades participantes, independentemente do número de órgãos ou entidades não participantes que aderirem à ata de registro de preços (art. 86, §5°, da Lei n. 14.133, de 2021, e art. 32, II, do Decreto n. 11.462, de 2023).</w:t>
      </w:r>
    </w:p>
    <w:p>
      <w:r>
        <w:t>55. Atenção: a hipótese "b", acima, não se aplica em caso de aquisição emergencial de medicamentos e de material de consumo médico-hospitalar por adesão à ata gerenciada pelo Ministério da Saúde (art. 32, §1°, do Decreto n. 11.462, de 2023).</w:t>
      </w:r>
    </w:p>
    <w:p>
      <w:r>
        <w:t>56. Importante: essas limitações dos quantitativos, conforme disposto no art. 32, devem ser aferidas pelos órgãos e entidades gerenciadores, quando da autorização para a adesão.</w:t>
      </w:r>
    </w:p>
    <w:p>
      <w:r>
        <w:t>Recomendação:</w:t>
      </w:r>
    </w:p>
    <w:p>
      <w:r>
        <w:t>57.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comprovar que foi feito o controle de limitações dos quantitativos, o que deve ser aferido pelos gestores por meio do Gestão de Atas - ferramenta informatizada, integrante do Portal Compras.gov.br, nos termos do art. 2°, IX, c/c art. 24, I, parágrafo único, do Decreto n° 11.462, de 2023.</w:t>
            </w:r>
          </w:p>
        </w:tc>
      </w:tr>
    </w:tbl>
    <w:p/>
    <w:p>
      <w:r>
        <w:t>a. comprovar que foi feito o controle de limitações dos quantitativos, o que deve ser aferido pelos gestores por meio do Gestão de Atas - ferramenta informatizada, integrante do Portal Compras.gov.br, nos termos do art. 2°, IX, c/c art. 24, I, parágrafo único, do Decreto n° 11.462, de 2023.</w:t>
      </w:r>
    </w:p>
    <w:p>
      <w:r>
        <w:t>6.7 Atas passíveis de adesão: apenas da Administração Pública Federal</w:t>
      </w:r>
    </w:p>
    <w:p>
      <w:r>
        <w:t>58. Apenas atas de registro de preços gerenciadas por órgão ou entidade da Administração Pública Federal podem ser objeto de adesão.</w:t>
      </w:r>
    </w:p>
    <w:p>
      <w:r>
        <w:t>59. Frise-se: o art. 33 do Decreto n. 11.462, de 2023, veda às entidades da Administração Pública Federal a adesão a atas de registro de preços gerenciadas por órgão ou entidade estadual, distrital ou municipal.</w:t>
      </w:r>
    </w:p>
    <w:p>
      <w:r>
        <w:t>6.8 Adesão em relação a item específico de grupo de itens</w:t>
      </w:r>
    </w:p>
    <w:p>
      <w:r>
        <w:t>60. Caso se pretenda aderir a item específico licitado por grupo de itens, é preciso que seja providenciada pesquisa de mercado e demonstração de sua vantagem para a Administração aderente, nos termos do art. 13, inciso II, do Decreto n° 11.462, de 2023.</w:t>
      </w:r>
    </w:p>
    <w:p>
      <w:r>
        <w:t>7.DA MINUTA DO TERMO DE CONTRATO OU INSTRUMENTO SUBSTITUTIVO</w:t>
      </w:r>
    </w:p>
    <w:p>
      <w:r>
        <w:t>61. A Administração deve, obrigatoriamente, utilizar a mesma minuta de instrumento contratual ou instrumento substitutivo constante do processo conduzido pelo Órgão Gerenciador (art. 7°, § 4°, do Decreto n. 11.462, de 2023). Admite-se as inserções específicas pertinentes à adesão, como a indicação do órgão, quantitativos, local de entrega, fonte de recurso e foro.</w:t>
      </w:r>
    </w:p>
    <w:p>
      <w:r>
        <w:t>62. Ressalta-se: o controle de legalidade prévio do edital, da minuta de ata e de termo de contrato exigido pelo art. 53, caput, da Lei n.º 14.133, de 2021, já foi realizado pela consultoria jurídica junto ao órgão gerenciador na fase interna da licitação.</w:t>
      </w:r>
    </w:p>
    <w:p>
      <w:r>
        <w:t>63. Tal atribuição consta, inclusive, no art. 7°, § 4°, do Decreto n. 11.462, de 31 de março de 2023:</w:t>
      </w:r>
    </w:p>
    <w:p>
      <w:r>
        <w:t>Art. 7° (...)</w:t>
      </w:r>
    </w:p>
    <w:p>
      <w:r>
        <w:t>§ 4° O exame e a aprovação das minutas do edital, dos avisos ou dos instrumentos de contratação direta e do contrato serão efetuados exclusivamente pela Assessoria Jurídica do órgão ou da entidade gerenciadora.</w:t>
      </w:r>
    </w:p>
    <w:p>
      <w:r>
        <w:t>64. Afasta-se, assim, a obrigatoriedade de novo exame e aprovação dessas minutas, quando da adesão à ata.</w:t>
      </w:r>
    </w:p>
    <w:p>
      <w:r>
        <w:t>65. A consultoria jurídica junto ao órgão ou entidade não participante não pode sequer sugerir a retificação da minuta de contrato/instrumento substitutivo como condição para a efetiva adesão.</w:t>
      </w:r>
    </w:p>
    <w:p>
      <w:r>
        <w:t>Recomendação:</w:t>
      </w:r>
    </w:p>
    <w:p>
      <w:r>
        <w:t>66.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adotar a minuta contratual/instrumento substitutivo que integrou o edital de licitação, como anexo, de modo fiel e uniforme, fazendo apenas as adaptações específicas pertinentes à adesão, como a indicação do órgão, quantitativos, local de entrega, fonte de recurso e foro; b. observar o instrumento utilizado pela própria ARP e pelo Edital que a originou, ou seja, se foi previsto que a contratação ocorra por meio de emissão de nota de emprenho, a adesão deve seguir a mesma linha.</w:t>
            </w:r>
          </w:p>
        </w:tc>
      </w:tr>
    </w:tbl>
    <w:p/>
    <w:p>
      <w:r>
        <w:t>a. adotar a minuta contratual/instrumento substitutivo que integrou o edital de licitação, como anexo, de modo fiel e uniforme, fazendo apenas as adaptações específicas pertinentes à adesão, como a indicação do órgão, quantitativos, local de entrega, fonte de recurso e foro;</w:t>
      </w:r>
    </w:p>
    <w:p>
      <w:r>
        <w:t>b. observar o instrumento utilizado pela própria ARP e pelo Edital que a originou, ou seja, se foi previsto que a contratação ocorra por meio de emissão de nota de emprenho, a adesão deve seguir a mesma linha.</w:t>
      </w:r>
    </w:p>
    <w:p>
      <w:r>
        <w:t>8. DOS REQUISITOS PARA CONTRATAR COM A ADMINISTRAÇÃO</w:t>
      </w:r>
    </w:p>
    <w:p>
      <w:r>
        <w:t>67. Alerta-se que a comprovação da habilitação do contratado deve ser exigida ainda que se trate de adesão à ARP e deve abranger os aspectos essenciais à regularidade da contratação (art. 72, inciso V; c/c art. 91, § 4°; art. 92, inciso XVI; e art. 161, todos da Lei n° 14.133, de 2021).</w:t>
      </w:r>
    </w:p>
    <w:p>
      <w:r>
        <w:t>68. Compete à Administração verificar a situação da futura contratada junto aos seguintes cadastros/sistemas:</w:t>
      </w:r>
    </w:p>
    <w:p>
      <w:r>
        <w:t> Sistema de Cadastramento Unificado de Fornecedores - SICAF;</w:t>
      </w:r>
    </w:p>
    <w:p>
      <w:r>
        <w:t> Cadastro Informativo de créditos não quitados do setor público federal - CADIN;</w:t>
      </w:r>
    </w:p>
    <w:p>
      <w:r>
        <w:t> Cadastro Nacional de Empresas Inidôneas e Suspensas - CEIS, mantido pela Controladoria-Geral da União;</w:t>
      </w:r>
    </w:p>
    <w:p>
      <w:r>
        <w:t> Cadastro Nacional de Condenações Cíveis por Atos de Improbidade Administrativa, mantido pelo Conselho Nacional de Justiça - CNJ;</w:t>
      </w:r>
    </w:p>
    <w:p>
      <w:r>
        <w:t> Lista de Inidôneos, mantida pelo Tribunal de Contas da União - TCU; e</w:t>
      </w:r>
    </w:p>
    <w:p>
      <w:r>
        <w:t> Banco Nacional de Devedores Trabalhistas - CNDT.</w:t>
      </w:r>
    </w:p>
    <w:p>
      <w:r>
        <w:t>69. Atenção: é essencial providenciar a declaração relativa ao cumprimento do disposto no artigo 7°, XXXIII, da Constituição Federal.</w:t>
      </w:r>
    </w:p>
    <w:p>
      <w:r>
        <w:t>70. Importante: a eventual existência de pendência no cadastro do CADIN impede a contratação e respectivos aditamentos (art. 6°-A da Lei n° 10.522, de 2002, incluído pela Lei n° 14.973, de 2024).</w:t>
      </w:r>
    </w:p>
    <w:p>
      <w:r>
        <w:t>Recomendação:</w:t>
      </w:r>
    </w:p>
    <w:p>
      <w:r>
        <w:t>71.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consultar os sistemas/cadastros indicados acima e verificar a ocorrência de eventuais impedimentos à contratação; b. regularizar eventuais certidões vencidas ou prestes a vencer; c. analisar se existe ou não algum impedimento à contratação caso haja registro de "Ocorrências Impeditivas Indiretas" no SICAF, utilizando o relatório de ocorrências impeditivas indiretas; d. providenciar a declaração relativa ao cumprimento do disposto no artigo 7°, XXXIII, da CF; e. abster-se de realizar a contratação, caso haja pendência no CADIN, até que haja regularização do débito junto ao órgão ou entidade responsável pela sua inscrição, nos termos do PARECER n. 00063/2024/DECOR/CGU/AGU, item 50.</w:t>
            </w:r>
          </w:p>
        </w:tc>
      </w:tr>
    </w:tbl>
    <w:p/>
    <w:p>
      <w:r>
        <w:t>a. consultar os sistemas/cadastros indicados acima e verificar a ocorrência de eventuais impedimentos à contratação;</w:t>
      </w:r>
    </w:p>
    <w:p>
      <w:r>
        <w:t>b. regularizar eventuais certidões vencidas ou prestes a vencer;</w:t>
      </w:r>
    </w:p>
    <w:p>
      <w:r>
        <w:t>c. analisar se existe ou não algum impedimento à contratação caso haja registro de "Ocorrências Impeditivas Indiretas" no SICAF, utilizando o relatório de ocorrências impeditivas indiretas;</w:t>
      </w:r>
    </w:p>
    <w:p>
      <w:r>
        <w:t>d. providenciar a declaração relativa ao cumprimento do disposto no artigo 7°, XXXIII, da CF;</w:t>
      </w:r>
    </w:p>
    <w:p>
      <w:r>
        <w:t>e. abster-se de realizar a contratação, caso haja pendência no CADIN, até que haja regularização do débito junto ao órgão ou entidade responsável pela sua inscrição, nos termos do PARECER n. 00063/2024/DECOR/CGU/AGU, item 50.</w:t>
      </w:r>
    </w:p>
    <w:p>
      <w:r>
        <w:t>9. ASPECTOS ORÇAMENTÁRIOS</w:t>
      </w:r>
    </w:p>
    <w:p>
      <w:r>
        <w:t>72. A indicação da disponibilidade orçamentária com a respectiva indicação da classificação funcional programática e da categoria econômica da despesa é uma imposição legal, conforme art. 10, inciso IX, da Lei n. 8.429, de 1992, e art. 105 da Lei n. 14.133, de 2021:</w:t>
      </w:r>
    </w:p>
    <w:p>
      <w:r>
        <w:t>Lei n. 8.429, de 1992</w:t>
      </w:r>
    </w:p>
    <w:p>
      <w:r>
        <w:t>Art. 10. Constitui ato de improbidade administrativa que causa lesão ao erário qualquer ação ou omissão dolosa, que enseje, efetiva e comprovadamente, perda patrimonial, desvio, apropriação, malbaratamento ou dilapidação dos bens ou haveres das entidades referidas no art. 1° desta Lei, e notadamente:</w:t>
      </w:r>
    </w:p>
    <w:p>
      <w:r>
        <w:t>[...]</w:t>
      </w:r>
    </w:p>
    <w:p>
      <w:r>
        <w:t>IX - ordenar ou permitir a realização de despesas não autorizadas em lei ou regulamento;</w:t>
      </w:r>
    </w:p>
    <w:p>
      <w:r>
        <w:t>Lei n. 14.133, de 2021</w:t>
      </w:r>
    </w:p>
    <w:p>
      <w:r>
        <w:t>Art. 105. A duração dos contratos regidos por esta Lei será a prevista em edital, e deverão ser observadas, no momento da contratação e a cada exercício financeiro, a disponibilidade de créditos orçamentários, bem como a previsão no plano plurianual, quando ultrapassar 1 (um) exercício financeiro. (g.n.)</w:t>
      </w:r>
    </w:p>
    <w:p>
      <w:r>
        <w:t>73. O art. 9°, inc. X, Instrução Normativa SEGES/ME n. 81, de 2022, determina que tal informação conste do Termo de Referência.</w:t>
      </w:r>
    </w:p>
    <w:p>
      <w:r>
        <w:t>74. Atenção: caso se trate de licitação destinada ao registro de preços, a indicação da disponibilidade de créditos orçamentários somente será exigida para a formalização do contrato ou do instrumento substitutivo (art. 17 do Decreto n. 11.462, de 2023).</w:t>
      </w:r>
    </w:p>
    <w:p>
      <w:r>
        <w:t>75. Alerta-se: é necessário juntar, antes da celebração do contrato administrativo, a nota de empenho suficiente para o suporte financeiro da respectiva despesa (art. 60 da Lei n. 4.320, de 1964).</w:t>
      </w:r>
    </w:p>
    <w:p>
      <w:r>
        <w:t>76. Se as despesas que amparam a ação forem qualificáveis como atividades, sendo, portanto, despesas rotineiras e ordinárias, é dispensado o atendimento das exigências do art. 16, I e II, da Lei Complementar n. 101, de 2000 (Orientação Normativa AGU n. 52, de 2014, e Conclusão DEPCONSU/PGF/AGU n. 01/2012).</w:t>
      </w:r>
    </w:p>
    <w:p>
      <w:r>
        <w:t>Recomendação:</w:t>
      </w:r>
    </w:p>
    <w:p>
      <w:r>
        <w:t>77. Nesses termos, o ente assessorado deverá:</w:t>
      </w:r>
    </w:p>
    <w:tbl>
      <w:tblPr>
        <w:tblW w:type="auto" w:w="0"/>
        <w:tblLook w:firstColumn="1" w:firstRow="1" w:lastColumn="0" w:lastRow="0" w:noHBand="0" w:noVBand="1" w:val="04A0"/>
      </w:tblPr>
      <w:tblGrid>
        <w:gridCol w:w="8640"/>
      </w:tblGrid>
      <w:tr>
        <w:tc>
          <w:tcPr>
            <w:tcW w:type="dxa" w:w="8640"/>
          </w:tcPr>
          <w:p/>
        </w:tc>
      </w:tr>
      <w:tr>
        <w:tc>
          <w:tcPr>
            <w:tcW w:type="dxa" w:w="8640"/>
          </w:tcPr>
          <w:p>
            <w:r>
              <w:t>a. juntar a declaração do setor competente acerca da previsão dos recursos orçamentários necessários para fazer face às despesas decorrentes da contratação, com a indicação da respectiva rubrica, como condição essencial ao prosseguimento da adesão; b. informar a natureza da ação orçamentária para, em seguida, manifestar se se trata de situação que reclama ou não o cumprimento do art. 16, incisos I e II, da Lei Complementar n. 101, de 2000, adotando as providências necessárias.</w:t>
            </w:r>
          </w:p>
        </w:tc>
      </w:tr>
    </w:tbl>
    <w:p/>
    <w:p>
      <w:r>
        <w:t>a. juntar a declaração do setor competente acerca da previsão dos recursos orçamentários necessários para fazer face às despesas decorrentes da contratação, com a indicação da respectiva rubrica, como condição essencial ao prosseguimento da adesão;</w:t>
      </w:r>
    </w:p>
    <w:p>
      <w:r>
        <w:t>b. informar a natureza da ação orçamentária para, em seguida, manifestar se se trata de situação que reclama ou não o cumprimento do art. 16, incisos I e II, da Lei Complementar n. 101, de 2000, adotando as providências necessárias.</w:t>
      </w:r>
    </w:p>
    <w:p>
      <w:r>
        <w:t>10. DA PUBLICAÇÃO DO EDITAL E DA LEI DE ACESSO À INFORMAÇÃO</w:t>
      </w:r>
    </w:p>
    <w:p>
      <w:r>
        <w:t>78. É obrigatória a divulgação da prorrogação da ata no Portal Nacional de Contratações Públicas (PNCP), na forma prevista no art. 94 da Lei n° 14.133, de 2021, bem como no respectivo sítio oficial na Internet, em atenção ao art. 91, caput, da Lei n° 14.133, de 2021, e ao art. 8°, § 2°, da Lei n° 12.527, de 2011, c/c art. 7°, § 3°, inciso V, do Decreto n° 7.724, de 2012.</w:t>
      </w:r>
    </w:p>
    <w:p>
      <w:r>
        <w:t>11. ATESTADO DE ADEQUAÇÃO DO PROCESSO AO PARECER REFERENCIAL</w:t>
      </w:r>
    </w:p>
    <w:p>
      <w:r>
        <w:t>79. Deverá o órgão assessorado informar, sempre que solicitado, a relação dos processos, com respectivo NUP, em que a presente manifestação jurídica referencial tenha sido adotada.</w:t>
      </w:r>
    </w:p>
    <w:p>
      <w:r>
        <w:t>80. É necessário, ainda, o preenchimento e juntada aos autos da seguinte declaração:</w:t>
      </w:r>
    </w:p>
    <w:p>
      <w:r>
        <w:t>ATESTADO DE CONFORMIDADE DO PROCESSO COM O PARECER REFERENCIAL</w:t>
      </w:r>
    </w:p>
    <w:p>
      <w:r>
        <w:t>Processo:</w:t>
      </w:r>
    </w:p>
    <w:p>
      <w:r>
        <w:t>Referência/objeto: adesão à Ata de Registro de Preços n. XXXX, para XXXX. Valor estimado (Valor de referência): R$</w:t>
      </w:r>
    </w:p>
    <w:p>
      <w:r>
        <w:t>Atesto que o caso concreto dos presentes autos adequa-se à hipótese analisada pelo PARECER REFERENCIAL n. 00009/2025/GERTEC/ELIC/PGF/AGU, cujas recomendações foram integralmente atendidas, de acordo com o que está consignado na lista de verificação juntada aos autos.</w:t>
      </w:r>
    </w:p>
    <w:p>
      <w:r>
        <w:t>Fica, assim, dispensada a remessa dos autos para exame individualizado pela Procuradoria Federal Especializada junto à autarquia/fundação, nos termos da Portaria PGF/AGU n. 262, de 05 de maio de 2017, e Orientação Normativa n. 55 da Advocacia Geral da União.</w:t>
      </w:r>
    </w:p>
    <w:p>
      <w:r>
        <w:t>.................................de................................de 20...........</w:t>
      </w:r>
    </w:p>
    <w:p>
      <w:r>
        <w:t>____________________________________</w:t>
      </w:r>
    </w:p>
    <w:p>
      <w:r>
        <w:t>Identificação e assinatura</w:t>
      </w:r>
    </w:p>
    <w:p>
      <w:r>
        <w:t>III. CONCLUSÃO</w:t>
      </w:r>
    </w:p>
    <w:p>
      <w:r>
        <w:t>81. Em face do exposto, nos limites da análise jurídica e excluídos os aspectos técnicos e o juízo de oportunidade e conveniência do ajuste, caso sejam preenchidos todos os requisitos e atendidas todas as recomendações constantes deste Parecer Referencial, considera- se juridicamente regular a adesão à ata de registro de preços (art. 53, § 4°, da Lei n° 14.133, de 2021).</w:t>
      </w:r>
    </w:p>
    <w:p>
      <w:r>
        <w:t>82.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em cada processo individualmente, que a situação concreta se amolda aos termos desta manifestação, conforme modelo presente no item 80.</w:t>
      </w:r>
    </w:p>
    <w:p>
      <w:r>
        <w:t>83. Caso haja dúvida jurídica, o processo deve ser remetido ao órgão de consultoria para exame individualizado, com a formulação dos questionamentos específicos, nos moldes da Portaria PGF n. 526, de 2013.</w:t>
      </w:r>
    </w:p>
    <w:p>
      <w:r>
        <w:t>84. As orientações emanadas dos pareceres jurídicos, ainda que apenas opinativos, devem ser seguidas ou, caso contrário, justificadas no corpo do processo.</w:t>
      </w:r>
    </w:p>
    <w:p>
      <w:r>
        <w:t>85. Por fim, não há determinação legal para fiscalização posterior de cumprimento de recomendações feitas (BPC n. 5).</w:t>
      </w:r>
    </w:p>
    <w:p>
      <w:r>
        <w:t>86. É o parecer, segundo o entendimento consolidado da ELIC, elaborado por meio do Sistema AGU de Inteligência Jurídica (Sapiens), assinado digitalmente, consoante os objetivos de eficiência, padronização e uniformidade na atividade submetida à sua consultoria jurídica (art. 1°, incisos I e II, e art. 3°, inciso II, da Portaria Normativa PGF/AGU n. 73, de 2025).</w:t>
      </w:r>
    </w:p>
    <w:p>
      <w:r>
        <w:t>Brasília, na data da assinatura.</w:t>
      </w:r>
    </w:p>
    <w:p>
      <w:r>
        <w:br w:type="page"/>
      </w:r>
    </w:p>
    <w:p>
      <w:pPr>
        <w:pStyle w:val="Heading1"/>
      </w:pPr>
      <w:r>
        <w:t>2026-08-10</w:t>
      </w:r>
    </w:p>
    <w:p>
      <w:pPr>
        <w:pStyle w:val="Heading2"/>
      </w:pPr>
      <w:r>
        <w:t>PORTARIA DIORE/SUSEP Nº 153, DE 4 DE AGOSTO DE 2026</w:t>
      </w:r>
    </w:p>
    <w:p>
      <w:r>
        <w:t>Categoria: Ministério da Fazenda/Superintendência de Seguros Privados/Diretoria de Organização de Mercado e Regulação de Conduta</w:t>
      </w:r>
    </w:p>
    <w:p>
      <w:r>
        <w:t>Página: 32</w:t>
      </w:r>
    </w:p>
    <w:p/>
    <w:p>
      <w:r>
        <w:t>PORTARIA DIORE/SUSEP Nº 153, DE 4 DE AGOSTO DE 2026</w:t>
      </w:r>
    </w:p>
    <w:p>
      <w:r>
        <w:t>O DIRETOR DA DIRETORIA DE ORGANIZAÇÃO DE MERCADO E REGULAÇÃO DE CONDUTA - DIORE DA SUPERINTENDÊNCIA DE SEGUROS PRIVADOS - SUSEP, no uso da competência delegada pelo Superintendente da Susep, por meio da Portaria nº 8.186, de 21 de julho de 2023, combinado com o artigo 29 da Resolução CNSP nº 490, de 12 de março de 2026; tendo em vista o art. 12 da Lei Complementar nº 126, de 15 de janeiro de 2007; o inciso III do art. 5º, o inciso I do art. 31 e o inciso III do art. 32, todos da Resolução CNSP nº 422, de 11 de novembro de 2021; e o que consta do Processo Susep nº 15414.630210/2026-80, resolve:</w:t>
      </w:r>
    </w:p>
    <w:p>
      <w:r>
        <w:t>Art. 1º Fica cancelada a autorização para funcionamento de BESSO RE BRASIL CORRETORA DE RESSEGUROS LTDA, CNPJ nº 19.630.496/0001-05, com sede social na cidade do Rio de Janeiro - RJ, como corretora de resseguros, concedida por meio da Portaria SUSEP nº 5.876, de 19 de maio de 2014.</w:t>
      </w:r>
    </w:p>
    <w:p>
      <w:r>
        <w:t>Art.2° Esta Portaria entra em vigor na data de sua publicação.</w:t>
      </w:r>
    </w:p>
    <w:p>
      <w:r>
        <w:t>CARLOS ROBERTO ALVES DE QUEIROZ</w:t>
      </w:r>
    </w:p>
    <w:p>
      <w:pPr>
        <w:pStyle w:val="Heading2"/>
      </w:pPr>
      <w:r>
        <w:t>PORTARIA CGCCR/SUSEP nº 21, de 6 de AGOSTO de 2026</w:t>
      </w:r>
    </w:p>
    <w:p>
      <w:r>
        <w:t>Categoria: Ministério da Fazenda/Superintendência de Seguros Privados/Diretoria de Organização de Mercado e Regulação de Conduta/Coordenação-Geral de Credenciamentos, Cadastros e Regimes Especiais</w:t>
      </w:r>
    </w:p>
    <w:p>
      <w:r>
        <w:t>Página: 32</w:t>
      </w:r>
    </w:p>
    <w:p/>
    <w:p>
      <w:r>
        <w:t>PORTARIA CGCCR/SUSEP nº 21, de 6 de AGOSTO de 2026</w:t>
      </w:r>
    </w:p>
    <w:p>
      <w:r>
        <w:t>O COORDENADOR-GERAL DA COORDENAÇÃO-GERAL DE CREDENCIAMENTOS, CADASTROS E REGIMES ESPECIAIS - CGCCR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 do art. 4º da Lei Complementar nº 126, de 15 de janeiro de 2007, nos incisos II e V do art. 5º e art. 30 e 43, todos da Resolução CNSP nº 422, de 11 de novembro de 2021, e o que consta do processo Susep nº 15414.638215/2026-51, resolve:</w:t>
      </w:r>
    </w:p>
    <w:p>
      <w:r>
        <w:t>Art.1° Ficam homologadas as seguintes deliberações tomadas pelos sócios da MITSUI SUMITOMO INSURANCE COMPANY LIMITED - ESCRITÓRIO DE REPRESENTAÇÃO NO BRASIL LTDA., CNPJ nº 44.070.787/0001-33, com sede na cidade de São Paulo - SP, na alteração contratual datada de 29 de junho de 2026:</w:t>
      </w:r>
    </w:p>
    <w:p>
      <w:r>
        <w:t>I - nomeação do Sr. Ichiro Kamezaki para o cargo de Diretor e as funções de representante e procurador da MITSUI SUMITOMO INSURANCE COMPANY LIMITED, CNPJ nº 05.598.097/0001-08, sociedade organizada e existente de acordo com as leis do Japão, cadastrada junto à SUSEP como ressegurador admitido, nos termos da Portaria Susep nº 3.056 de 15 de outubro de 2008;</w:t>
      </w:r>
    </w:p>
    <w:p>
      <w:r>
        <w:t>II - consolidação do contrato social.</w:t>
      </w:r>
    </w:p>
    <w:p>
      <w:r>
        <w:t>Art. 2º Esta portaria entra em vigor na data de sua publicação.</w:t>
      </w:r>
    </w:p>
    <w:p>
      <w:r>
        <w:t>JONAS DOS SANTOS SOUSA</w:t>
      </w:r>
    </w:p>
    <w:p>
      <w:pPr>
        <w:pStyle w:val="Heading2"/>
      </w:pPr>
      <w:r>
        <w:t>PORTARIA CGCCR/SUSEP nº 22, de 6 de AGOSTO de 2026</w:t>
      </w:r>
    </w:p>
    <w:p>
      <w:r>
        <w:t>Categoria: Ministério da Fazenda/Superintendência de Seguros Privados/Diretoria de Organização de Mercado e Regulação de Conduta/Coordenação-Geral de Credenciamentos, Cadastros e Regimes Especiais</w:t>
      </w:r>
    </w:p>
    <w:p>
      <w:r>
        <w:t>Página: 32</w:t>
      </w:r>
    </w:p>
    <w:p/>
    <w:p>
      <w:r>
        <w:t>PORTARIA CGCCR/SUSEP nº 22, de 6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X do artigo 36 da Lei Complementar nº 213, de 15 de janeiro de 2025, no artigo 10 da Circular SUSEP nº 435, de 2012, e o que consta do processo Susep n.º 15414.634399/2026-80, resolve:</w:t>
      </w:r>
    </w:p>
    <w:p>
      <w:r>
        <w:t>Art.1° Ficam homologadas as seguintes deliberações que constam da Assembleia Geral Ordinária Eleitoral, datada de 21 de maio de 2026, pertinentes ao Instituto Brasileiro de Autorregulação do Mercado de Corretagem de Seguros, de Resseguros, de Capitalização e de Previdência Complementar Aberta - IBRACOR:</w:t>
      </w:r>
    </w:p>
    <w:p>
      <w:r>
        <w:t>I - eleição da Sra. Maria Filomena Magalhães Branquinho ao cargo de presidente do Conselho Diretor, com mandato até 30 de junho de 2030;</w:t>
      </w:r>
    </w:p>
    <w:p>
      <w:r>
        <w:t>II - eleição da Sra. Gianni Moreira Leitão ao cargo de diretora administrativa-financeira, com mandato até 30 de junho de 2030;</w:t>
      </w:r>
    </w:p>
    <w:p>
      <w:r>
        <w:t>III - eleição do Sr. Paulo Fernando Mattar ao cargo de diretor de fiscalização, com mandato até 30 de junho de 2030;</w:t>
      </w:r>
    </w:p>
    <w:p>
      <w:r>
        <w:t>IV - eleição do Sr. Augusto Coelho Cardoso ao cargo de diretor de julgamentos, com mandato até 30 de junho de 2030;</w:t>
      </w:r>
    </w:p>
    <w:p>
      <w:r>
        <w:t>V - eleição do Sr. Marcelo Augusto Camacho Rocha ao cargo de diretor de técnica e normas, com mandato até 30 de junho de 2030;</w:t>
      </w:r>
    </w:p>
    <w:p>
      <w:r>
        <w:t>VI - eleição do Sr. Eduardo Toledo Protásio de Almeida ao cargo de diretor de corretagem de resseguro, com mandato até 30 de junho de 2030;</w:t>
      </w:r>
    </w:p>
    <w:p>
      <w:r>
        <w:t>VII - eleição do Sr. Antonio Ferreira Mota de Albuquerque ao cargo de suplente do Conselho Diretor, com mandato até 30 de junho de 2030;</w:t>
      </w:r>
    </w:p>
    <w:p>
      <w:r>
        <w:t>VIII - eleição da Sra. Raquel Ferreira da Silva ao cargo de suplente do Conselho Diretor, com mandato até 30 de junho de 2030;</w:t>
      </w:r>
    </w:p>
    <w:p>
      <w:r>
        <w:t>IX - eleição do Sr. Hailton Costa Neves ao cargo de suplente do Conselho Diretor, com mandato até 30 de junho de 2030;</w:t>
      </w:r>
    </w:p>
    <w:p>
      <w:r>
        <w:t>X - eleição da Sra. Lorayne Paes Buentes ao cargo de suplente do Conselho Diretor, com mandato até 30 de junho de 2030;</w:t>
      </w:r>
    </w:p>
    <w:p>
      <w:r>
        <w:t>XI - eleição do Sr. Luiz Alberto Mattua Teixeira ao cargo de suplente do Conselho Diretor, com mandato até 30 de junho de 2030;</w:t>
      </w:r>
    </w:p>
    <w:p>
      <w:r>
        <w:t>XII - eleição do Sr. Alexander Barbosa Ferreira ao cargo de suplente do Conselho Diretor, com mandato até 30 de junho de 2030;</w:t>
      </w:r>
    </w:p>
    <w:p>
      <w:r>
        <w:t>XIII - eleição da Sra. Paola Young Casado Barros de Souza ao cargo de membro do Conselho Fiscal, com mandato até 30 de junho de 2030;</w:t>
      </w:r>
    </w:p>
    <w:p>
      <w:r>
        <w:t>XIV - eleição da Sra. Juliana Ribeiro Barreto Paes ao cargo de membro do Conselho Fiscal, com mandato até 30 de junho de 2030;</w:t>
      </w:r>
    </w:p>
    <w:p>
      <w:r>
        <w:t>XV - eleição da Sra. Muriel Duarte Fernandes Figueira da Silva ao cargo de membro do Conselho Fiscal, com mandato até 30 de junho de 2030;</w:t>
      </w:r>
    </w:p>
    <w:p>
      <w:r>
        <w:t>XVI - eleição da Sra. Andrea Schunk Mendes ao cargo de suplente do Conselho Fiscal, com mandato até 30 de junho de 2030;</w:t>
      </w:r>
    </w:p>
    <w:p>
      <w:r>
        <w:t>XVII - eleição do Sr. Carlos Aparecido Cunha ao cargo de suplente do Conselho Fiscal, com mandato até 30 de junho de 2030;</w:t>
      </w:r>
    </w:p>
    <w:p>
      <w:r>
        <w:t>XVIII - eleição do Sr. Wallace Rufino De Queiroz ao cargo de suplente do Conselho Fiscal, com mandato até 30 de junho de 2030;</w:t>
      </w:r>
    </w:p>
    <w:p>
      <w:r>
        <w:t>XIX - eleição da Sra. Maria Helena Cardoso Monteiro ao cargo de ouvidora, com mandato até 30 de junho de 2030;</w:t>
      </w:r>
    </w:p>
    <w:p>
      <w:r>
        <w:t>XX - eleição do Sr. Alberto Celio Cotrin Leite ao cargo de suplente de ouvidor, com mandato até 30 de junho de 2030;</w:t>
      </w:r>
    </w:p>
    <w:p>
      <w:r>
        <w:t>Art. 2º Esta portaria entra em vigor na data de sua publicação.</w:t>
      </w:r>
    </w:p>
    <w:p>
      <w:r>
        <w:t>JONAS DOS SANTOS SOUSA</w:t>
      </w:r>
    </w:p>
    <w:p>
      <w:pPr>
        <w:pStyle w:val="Heading2"/>
      </w:pPr>
      <w:r>
        <w:t>PORTARIA CGCCR/SUSEP nº 23, de 6 de AGOSTO de 2026</w:t>
      </w:r>
    </w:p>
    <w:p>
      <w:r>
        <w:t>Categoria: Ministério da Fazenda/Superintendência de Seguros Privados/Diretoria de Organização de Mercado e Regulação de Conduta/Coordenação-Geral de Credenciamentos, Cadastros e Regimes Especiais</w:t>
      </w:r>
    </w:p>
    <w:p>
      <w:r>
        <w:t>Página: 32</w:t>
      </w:r>
    </w:p>
    <w:p/>
    <w:p>
      <w:r>
        <w:t>PORTARIA CGCCR/SUSEP nº 23, de 6 de AGOSTO de 2026</w:t>
      </w:r>
    </w:p>
    <w:p>
      <w:r>
        <w:t>O COORDENADOR-GERAL DA COORDENAÇÃO-GERAL DE CREDENCIAMENTOS, CADASTROS E REGIMES ESPECIAIS - CGCCR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 do artigo 4º e artigo 12 da Lei Complementar nº 126, de 15 de janeiro de 2007, no inciso V do art. 5º e art. 43, todos da Resolução CNSP nº 422, de 11 de novembro de 2021, e o que consta do processo Susep nº 15414.631035/2026-48, resolve:</w:t>
      </w:r>
    </w:p>
    <w:p>
      <w:r>
        <w:t>Art.1° Ficam homologadas as seguintes deliberações da sócia de AXA XL REINSURANCE ESCRITÓRIO DE REPRESENTAÇÃO NO BRASIL LTDA, sociedade limitada, com sede na Cidade de São Paulo, inscrita no CNPJ/MF sob o nº 03.492.427/0001-42, na 27ª alteração contratual, realizada em 30 de abril de 2026:</w:t>
      </w:r>
    </w:p>
    <w:p>
      <w:r>
        <w:t>I - Reeleição da Sra. Thisiani Giseli Matsumura Martins para o cargo de Diretora e Representante da XL RE EUROPE SE, sociedade devidamente constituída de acordo com as leis da Irlanda, cadastrada junto à SUSEP como Ressegurador Admitido, nos termos da PORTARIA DIORE/SUSEP Nº 38, de 02 de dezembro de 2024; e</w:t>
      </w:r>
    </w:p>
    <w:p>
      <w:r>
        <w:t>II - Eleição do Sr. Ronaldo Paschoal Mesquita para o cargo de Diretor sem designação específica e Representante Substituto da XL RE EUROPE SE;</w:t>
      </w:r>
    </w:p>
    <w:p>
      <w:r>
        <w:t>III - Consolidação do contrato social.</w:t>
      </w:r>
    </w:p>
    <w:p>
      <w:r>
        <w:t>Art. 2º Esta portaria entra em vigor na data de sua publicação.</w:t>
      </w:r>
    </w:p>
    <w:p>
      <w:r>
        <w:t>JONAS DOS SANTOS SOUSA</w:t>
      </w:r>
    </w:p>
    <w:p>
      <w:pPr>
        <w:pStyle w:val="Heading2"/>
      </w:pPr>
      <w:r>
        <w:t>PORTARIA CGAUT/SUSEP nº 120, de 7 de AGOSTO de 2026</w:t>
      </w:r>
    </w:p>
    <w:p>
      <w:r>
        <w:t>Categoria: Ministério da Fazenda/Superintendência de Seguros Privados/Diretoria de Organização de Mercado e Regulação de Conduta/Coordenação-Geral de Autorizações</w:t>
      </w:r>
    </w:p>
    <w:p>
      <w:r>
        <w:t>Página: 32</w:t>
      </w:r>
    </w:p>
    <w:p/>
    <w:p>
      <w:r>
        <w:t>PORTARIA CGAUT/SUSEP nº 120, de 7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15414.622833/2026-89, resolve:</w:t>
      </w:r>
    </w:p>
    <w:p>
      <w:r>
        <w:t>Art. 1º Fica homologada a eleição de administrador de ALFA SEGURADORA S.A., CNPJ nº 02.713.529/0001-88, com sede na cidade de São Paulo - SP, conforme deliberado na assembleia geral extraordinária realizada em 20 de abril de 2026.</w:t>
      </w:r>
    </w:p>
    <w:p>
      <w:r>
        <w:t>Art. 2º Esta portaria entra em vigor na data de sua publicação.</w:t>
      </w:r>
    </w:p>
    <w:p>
      <w:r>
        <w:t>MAUREL ALEXIS WEICHERT</w:t>
      </w:r>
    </w:p>
    <w:p>
      <w:pPr>
        <w:pStyle w:val="Heading2"/>
      </w:pPr>
      <w:r>
        <w:t>PORTARIA CGAUT/SUSEP nº 121, de 7 de AGOSTO de 2026</w:t>
      </w:r>
    </w:p>
    <w:p>
      <w:r>
        <w:t>Categoria: Ministério da Fazenda/Superintendência de Seguros Privados/Diretoria de Organização de Mercado e Regulação de Conduta/Coordenação-Geral de Autorizações</w:t>
      </w:r>
    </w:p>
    <w:p>
      <w:r>
        <w:t>Página: 32</w:t>
      </w:r>
    </w:p>
    <w:p/>
    <w:p>
      <w:r>
        <w:t>PORTARIA CGAUT/SUSEP nº 121, de 7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15414.622825/2026-32, resolve:</w:t>
      </w:r>
    </w:p>
    <w:p>
      <w:r>
        <w:t>Art. 1º Fica homologada a eleição de administrador de ALFA PREVIDÊNCIA E VIDA S.A., CNPJ nº 02.713.530/0001-02, com sede na cidade de São Paulo - SP, conforme deliberado na assembleia geral extraordinária realizada em 20 de abril de 2026.</w:t>
      </w:r>
    </w:p>
    <w:p>
      <w:r>
        <w:t>Art. 2º Esta portaria entra em vigor na data de sua publicação.</w:t>
      </w:r>
    </w:p>
    <w:p>
      <w:r>
        <w:t>MAUREL ALEXIS WEICHERT</w:t>
      </w:r>
    </w:p>
    <w:p>
      <w:pPr>
        <w:pStyle w:val="Heading2"/>
      </w:pPr>
      <w:r>
        <w:t>PORTARIA CGAUT/SUSEP nº 122, de 7 de AGOSTO de 2026</w:t>
      </w:r>
    </w:p>
    <w:p>
      <w:r>
        <w:t>Categoria: Ministério da Fazenda/Superintendência de Seguros Privados/Diretoria de Organização de Mercado e Regulação de Conduta/Coordenação-Geral de Autorizações</w:t>
      </w:r>
    </w:p>
    <w:p>
      <w:r>
        <w:t>Página: 32</w:t>
      </w:r>
    </w:p>
    <w:p/>
    <w:p>
      <w:r>
        <w:t>PORTARIA CGAUT/SUSEP nº 122, de 7 de AGOSTO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artigo I do artigo 36 do Decreto-Lei nº 73, de 21 de novembro de 1966, com base no inciso I do artigo 5º da Resolução CNSP nº 422, de 11 de novembro de 2021, e o que consta do processo Susep nº 15414.626967/2026-79, resolve:</w:t>
      </w:r>
    </w:p>
    <w:p>
      <w:r>
        <w:t>Art. 1º Fica homologada a reforma e consolidação do estatuto social de XS3 SEGUROS S.A., CNPJ nº 38.155.802/0001-43, com sede na cidade de São Paulo - SP, conforme deliberado na assembleia geral extraordinária realizada em 30 de setembro de 2025.</w:t>
      </w:r>
    </w:p>
    <w:p>
      <w:r>
        <w:t>Art. 2º Esta portaria entra em vigor na data de sua publicação.</w:t>
      </w:r>
    </w:p>
    <w:p>
      <w:r>
        <w:t>MAUREL ALEXIS WEICHERT</w:t>
      </w:r>
    </w:p>
    <w:p>
      <w:pPr>
        <w:pStyle w:val="Heading2"/>
      </w:pPr>
      <w:r>
        <w:t>PORTARIA CGAUT/SUSEP nº 123, de 7 de AGOSTO de 2026</w:t>
      </w:r>
    </w:p>
    <w:p>
      <w:r>
        <w:t>Categoria: Ministério da Fazenda/Superintendência de Seguros Privados/Diretoria de Organização de Mercado e Regulação de Conduta/Coordenação-Geral de Autorizações</w:t>
      </w:r>
    </w:p>
    <w:p>
      <w:r>
        <w:t>Página: 32</w:t>
      </w:r>
    </w:p>
    <w:p/>
    <w:p>
      <w:r>
        <w:t>PORTARIA CGAUT/SUSEP nº 123, de 7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artigo I do artigo 36 do Decreto-Lei nº 73, de 21 de novembro de 1966, com base no inciso V do artigo 5º da Resolução CNSP nº 422, de 11 de novembro de 2021, e o que consta do processo Susep nº 15414.622124/2026-01, resolve:</w:t>
      </w:r>
    </w:p>
    <w:p>
      <w:r>
        <w:t>Art. 1º Fica homologada a eleição de membro do comitê de auditoria de ZURICH SANTANDER BRASIL SEGUROS E PREVIDÊNCIA S.A., CNPJ nº 87.376.109/0001-06, com sede na cidade de São Paulo - SP, conforme deliberado na reunião do conselho de administração realizada em 24 de março de 2026.</w:t>
      </w:r>
    </w:p>
    <w:p>
      <w:r>
        <w:t>Art. 2º Esta portaria entra em vigor na data de sua publicação.</w:t>
      </w:r>
    </w:p>
    <w:p>
      <w:r>
        <w:t>MAUREL ALEXIS WEICHERT</w:t>
      </w:r>
    </w:p>
    <w:p>
      <w:pPr>
        <w:pStyle w:val="Heading2"/>
      </w:pPr>
      <w:r>
        <w:t>PORTARIA CGAUT/SUSEP nº 124, de 7 de AGOSTO de 2026</w:t>
      </w:r>
    </w:p>
    <w:p>
      <w:r>
        <w:t>Categoria: Ministério da Fazenda/Superintendência de Seguros Privados/Diretoria de Organização de Mercado e Regulação de Conduta/Coordenação-Geral de Autorizações</w:t>
      </w:r>
    </w:p>
    <w:p>
      <w:r>
        <w:t>Página: 32</w:t>
      </w:r>
    </w:p>
    <w:p/>
    <w:p>
      <w:r>
        <w:t>PORTARIA CGAUT/SUSEP nº 124, de 7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artigo I do artigo 36 do Decreto-Lei nº 73, de 21 de novembro de 1966, com base no inciso V do artigo 5º da Resolução CNSP nº 422, de 11 de novembro de 2021, e o que consta do processo Susep nº 15414.622139/2026-61, resolve:</w:t>
      </w:r>
    </w:p>
    <w:p>
      <w:r>
        <w:t>Art. 1º Fica homologada a eleição de membro do comitê de auditoria de ZURICH SANTANDER BRASIL SEGUROS S.A., CNPJ nº 06.136.920/0001-18, com sede na cidade de São Paulo - SP, conforme deliberado na reunião do conselho de administração realizada em 24 de março de 2026.</w:t>
      </w:r>
    </w:p>
    <w:p>
      <w:r>
        <w:t>Art. 2º Esta portaria entra em vigor na data de sua publicação.</w:t>
      </w:r>
    </w:p>
    <w:p>
      <w:r>
        <w:t>MAUREL ALEXIS WEICHERT</w:t>
      </w:r>
    </w:p>
    <w:p>
      <w:pPr>
        <w:pStyle w:val="Heading2"/>
      </w:pPr>
      <w:r>
        <w:t>PORTARIA CGCCR/SUSEP nº 18, de 3 de AGOSTO de 2026</w:t>
      </w:r>
    </w:p>
    <w:p>
      <w:r>
        <w:t>Categoria: Ministério da Fazenda/Superintendência de Seguros Privados/Diretoria de Organização de Mercado e Regulação de Conduta/Coordenação-Geral de Credenciamentos, Cadastros e Regimes Especiais</w:t>
      </w:r>
    </w:p>
    <w:p>
      <w:r>
        <w:t>Página: 32</w:t>
      </w:r>
    </w:p>
    <w:p/>
    <w:p>
      <w:r>
        <w:t>PORTARIA CGCCR/SUSEP nº 18, de 3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III do art. 4º da Lei Complementar nº 126, de 15 de janeiro de 2007, no inciso II do art. 5º, da Resolução CNSP nº 422, de 11 de novembro de 2021, e o que consta do processo Susep nº 15414.636035/2026-34, resolve:</w:t>
      </w:r>
    </w:p>
    <w:p>
      <w:r>
        <w:t>Art.1° Fica homologada nomeação da Sra. Nicole Nascimento Priuli, nos termos do artigo 35 da Circular SUSEP nº 700, de 2024, como procuradora da Peerless Insurance Company, sociedade devidamente constituída e existente segundo as leis dos Estados Unidos da América, cadastrada junto à SUSEP como resseguradora eventual, nos termos da PORTARIA DIORE/SUSEP Nº 89, DE 24 DE OUTUBRO DE 2025.</w:t>
      </w:r>
    </w:p>
    <w:p>
      <w:r>
        <w:t>Art. 2º Esta portaria entra em vigor na data de sua publicação.</w:t>
      </w:r>
    </w:p>
    <w:p>
      <w:r>
        <w:t>JONAS DOS SANTOS SOUSA</w:t>
      </w:r>
    </w:p>
    <w:p>
      <w:pPr>
        <w:pStyle w:val="Heading2"/>
      </w:pPr>
      <w:r>
        <w:t>Portaria Previc Nº 522, DE 10 DE julho DE 2026</w:t>
      </w:r>
    </w:p>
    <w:p>
      <w:r>
        <w:t>Categoria: Ministério da Previdência Social/Superintendência Nacional de Previdência Complementar/Diretoria de Licenciamento</w:t>
      </w:r>
    </w:p>
    <w:p>
      <w:r>
        <w:t>Página: 54</w:t>
      </w:r>
    </w:p>
    <w:p/>
    <w:p>
      <w:r>
        <w:t>Portaria Previc Nº 522, DE 10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44011.003083/2026-82, resolve:</w:t>
      </w:r>
    </w:p>
    <w:p>
      <w:r>
        <w:t>Art.1º Aprovar as alterações propostas ao regulamento do Plano Epagri-FlexCeres, CNPB nº 2005.0023-56, administrado pela Ceres Fundação de Previdência, CNPJ nº 00.532.804/0001-31.</w:t>
      </w:r>
    </w:p>
    <w:p>
      <w:r>
        <w:t>Art.2º Esta Portaria entra em vigor na data de sua publicação.</w:t>
      </w:r>
    </w:p>
    <w:p>
      <w:r>
        <w:t>GUILHERME CAPRIATA VACCARO CAMPELO BEZERRA</w:t>
      </w:r>
    </w:p>
    <w:p>
      <w:pPr>
        <w:pStyle w:val="Heading2"/>
      </w:pPr>
      <w:r>
        <w:t>Portaria Previc Nº 523, DE 10 DE julho DE 2026</w:t>
      </w:r>
    </w:p>
    <w:p>
      <w:r>
        <w:t>Categoria: Ministério da Previdência Social/Superintendência Nacional de Previdência Complementar/Diretoria de Licenciamento</w:t>
      </w:r>
    </w:p>
    <w:p>
      <w:r>
        <w:t>Página: 54</w:t>
      </w:r>
    </w:p>
    <w:p/>
    <w:p>
      <w:r>
        <w:t>Portaria Previc Nº 523, DE 10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44011.003092/2026-73, resolve:</w:t>
      </w:r>
    </w:p>
    <w:p>
      <w:r>
        <w:t>Art.1º Aprovar as alterações propostas ao regulamento do Plano CIDASC-FlexCeres, CNPB nº 2009.0011-92, administrado pela Ceres Fundação de Previdência, CNPJ nº 00.532.804/0001-31.</w:t>
      </w:r>
    </w:p>
    <w:p>
      <w:r>
        <w:t>Art.2º Esta Portaria entra em vigor na data de sua publicação.</w:t>
      </w:r>
    </w:p>
    <w:p>
      <w:r>
        <w:t>GUILHERME CAPRIATA VACCARO CAMPELO BEZERRA</w:t>
      </w:r>
    </w:p>
    <w:p>
      <w:pPr>
        <w:pStyle w:val="Heading2"/>
      </w:pPr>
      <w:r>
        <w:t>Portaria Previc Nº 563, DE 23 DE julho DE 2026</w:t>
      </w:r>
    </w:p>
    <w:p>
      <w:r>
        <w:t>Categoria: Ministério da Previdência Social/Superintendência Nacional de Previdência Complementar/Diretoria de Licenciamento</w:t>
      </w:r>
    </w:p>
    <w:p>
      <w:r>
        <w:t>Página: 54</w:t>
      </w:r>
    </w:p>
    <w:p/>
    <w:p>
      <w:r>
        <w:t>Portaria Previc Nº 563, DE 23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44011.011714/2025-56, resolve:</w:t>
      </w:r>
    </w:p>
    <w:p>
      <w:r>
        <w:t>Art.1º Aprovar as alterações propostas ao regulamento do Plano Misto de Benefícios da FCEMG/SESC-MG/SENAC-MG, CNPB nº 2000.0077-83, administrado pela SUPREV - Fundação Multipatrocinada de Suplementação Previdenciária, CNPJ nº 49.323.025/0001-15.</w:t>
      </w:r>
    </w:p>
    <w:p>
      <w:r>
        <w:t>Art.2º Esta Portaria entra em vigor na data de sua publicação.</w:t>
      </w:r>
    </w:p>
    <w:p>
      <w:r>
        <w:t>GUILHERME CAPRIATA VACCARO CAMPELO BEZERRA</w:t>
      </w:r>
    </w:p>
    <w:p>
      <w:pPr>
        <w:pStyle w:val="Heading2"/>
      </w:pPr>
      <w:r>
        <w:t>Portaria Previc Nº 578, DE 29 DE julho DE 2026</w:t>
      </w:r>
    </w:p>
    <w:p>
      <w:pPr>
        <w:pStyle w:val="ListBullet"/>
      </w:pPr>
      <w:r>
        <w:t>Ementa: Dispõe sobre a gestão de acessos de usuários externos vinculados às Entidades Fechadas de Previdência Complementar aos sistemas institucionais da Superintendência Nacional de Previdência Complementar - PREVIC</w:t>
      </w:r>
    </w:p>
    <w:p>
      <w:r>
        <w:t>Categoria: Ministério da Previdência Social/Superintendência Nacional de Previdência Complementar/Gabinete</w:t>
      </w:r>
    </w:p>
    <w:p>
      <w:r>
        <w:t>Página: 52</w:t>
      </w:r>
    </w:p>
    <w:p/>
    <w:p>
      <w:r>
        <w:t>Portaria Previc Nº 578, DE 29 DE julho DE 2026</w:t>
      </w:r>
    </w:p>
    <w:p>
      <w:r>
        <w:t>Dispõe sobre a gestão de acessos de usuários externos vinculados às Entidades Fechadas de Previdência Complementar aos sistemas institucionais da Superintendência Nacional de Previdência Complementar - PREVIC</w:t>
      </w:r>
    </w:p>
    <w:p>
      <w:r>
        <w:t>O DIRETOR-SUPERINTENDENTE SUBSTITUTO DA SUPERINTENDÊNCIA NACIONAL DE PREVIDÊNCIA COMPLEMENTAR, no uso das atribuições que lhe são conferidas pelo art. 20 do Decreto nº 11.241, de 21 de novembro de 2022, e pelo art. 10, inciso X, do Regimento Interno da PREVIC, aprovado pela Portaria PREVIC nº 861, de 9 de outubro de 2024, resolve:</w:t>
      </w:r>
    </w:p>
    <w:p>
      <w:r>
        <w:t>CAPÍTULO I</w:t>
      </w:r>
    </w:p>
    <w:p>
      <w:r>
        <w:t>DAS DISPOSIÇÕES PRELIMINARES</w:t>
      </w:r>
    </w:p>
    <w:p>
      <w:r>
        <w:t>Art. 1º Esta Portaria dispõe sobre a gestão de acessos de usuários externos vinculados às Entidades Fechadas de Previdência Complementar - EFPC aos sistemas institucionais da PREVIC.</w:t>
      </w:r>
    </w:p>
    <w:p>
      <w:r>
        <w:t>§ 1º As EFPC deverão observar o disposto nesta Portaria quando do acesso aos sistemas institucionais da PREVIC destinados ao envio de informações, requerimentos e solicitações de serviços ao órgão supervisor.</w:t>
      </w:r>
    </w:p>
    <w:p>
      <w:r>
        <w:t>§ 2º Esta Portaria aplica-se aos acessos concedidos a pessoas físicas vinculadas, autorizadas ou indicadas pelas EFPC para utilização dos sistemas institucionais da PREVIC.</w:t>
      </w:r>
    </w:p>
    <w:p>
      <w:r>
        <w:t>§ 3º O disposto nesta Portaria não afasta a observância de regras específicas de acesso, autenticação, assinatura eletrônica, protocolo, processo eletrônico, proteção de dados pessoais, segurança da informação e tratamento de incidentes previstas em normas próprias.</w:t>
      </w:r>
    </w:p>
    <w:p>
      <w:r>
        <w:t>Art. 2º Para os fins desta Portaria, considera-se:</w:t>
      </w:r>
    </w:p>
    <w:p>
      <w:r>
        <w:t>I - sistema acesso: ferramenta utilizada para gerenciamento de acessos, perfis e permissões aos sistemas institucionais da PREVIC;</w:t>
      </w:r>
    </w:p>
    <w:p>
      <w:r>
        <w:t>II - gestor titular de acesso: usuário indicado pela EFPC, responsável pela concessão, administração e manutenção dos acessos aos sistemas institucionais da PREVIC, no âmbito da entidade que representa.</w:t>
      </w:r>
    </w:p>
    <w:p>
      <w:r>
        <w:t>III - gestor suplente de acesso: usuário indicado pela EFPC para atuar em substituição ao gestor titular nas atividades relacionadas à concessão e gestão de acessos;</w:t>
      </w:r>
    </w:p>
    <w:p>
      <w:r>
        <w:t>IV - perfil de acesso: conjunto de permissões atribuídas ao usuário para utilização dos sistemas institucionais da PREVIC;</w:t>
      </w:r>
    </w:p>
    <w:p>
      <w:r>
        <w:t>V - usuário: pessoa física autorizada a acessar os sistemas institucionais da PREVIC;</w:t>
      </w:r>
    </w:p>
    <w:p>
      <w:r>
        <w:t>VI - EFPC: Entidade Fechada de Previdência Complementar.</w:t>
      </w:r>
    </w:p>
    <w:p>
      <w:r>
        <w:t>VII - vínculo formal com a EFPC: relação estatutária, empregatícia, contratual ou outra formalmente reconhecida pela EFPC, que justifique a necessidade de acesso aos sistemas institucionais da PREVIC.</w:t>
      </w:r>
    </w:p>
    <w:p>
      <w:r>
        <w:t>VIII - credencial de acesso: mecanismo individual de identificação e autenticação utilizado para acesso aos sistemas institucionais da PREVIC;</w:t>
      </w:r>
    </w:p>
    <w:p>
      <w:r>
        <w:t>IX - concessão de acesso: habilitação inicial de usuário, perfil ou permissão para utilização dos sistemas institucionais da PREVIC;</w:t>
      </w:r>
    </w:p>
    <w:p>
      <w:r>
        <w:t>X - alteração de acesso: modificação de perfil, permissão, escopo ou condição de uso de acesso anteriormente concedido;</w:t>
      </w:r>
    </w:p>
    <w:p>
      <w:r>
        <w:t>XI - suspensão de acesso: bloqueio temporário de permissão de acesso, sem exclusão definitiva do cadastro do usuário;</w:t>
      </w:r>
    </w:p>
    <w:p>
      <w:r>
        <w:t>XII - revogação de acesso: exclusão definitiva da permissão de acesso anteriormente concedida a usuário; e</w:t>
      </w:r>
    </w:p>
    <w:p>
      <w:r>
        <w:t>XIII - CGTI: Coordenação-Geral de Tecnologia da Informação da Previc.</w:t>
      </w:r>
    </w:p>
    <w:p>
      <w:r>
        <w:t>CAPÍTULO II</w:t>
      </w:r>
    </w:p>
    <w:p>
      <w:r>
        <w:t>DOS GESTORES DE ACESSO</w:t>
      </w:r>
    </w:p>
    <w:p>
      <w:r>
        <w:t>Art. 3º Cada EFPC deverá manter cadastro atualizado de gestor titular e gestor suplente para concessão e administração dos acessos aos sistemas institucionais da PREVIC.</w:t>
      </w:r>
    </w:p>
    <w:p>
      <w:r>
        <w:t>§ 1º A indicação, alteração ou exclusão de gestor de acesso deverá ser realizada por representante legal da EFPC ou por pessoa formalmente autorizada, conforme procedimento definido pela PREVIC.</w:t>
      </w:r>
    </w:p>
    <w:p>
      <w:r>
        <w:t>§ 2º O gestor suplente poderá atuar em substituição ao gestor titular nas atividades relacionadas à concessão e gestão de acessos.</w:t>
      </w:r>
    </w:p>
    <w:p>
      <w:r>
        <w:t>§ 3º Os gestores de acesso indicados pela EFPC deverão possuir vínculo formal com a entidade, nos termos do art. 2º, caput, inciso VII.</w:t>
      </w:r>
    </w:p>
    <w:p>
      <w:r>
        <w:t>§ 4º Não será exigido que os gestores de acesso ocupem cargo de direção na EFPC, desde que possuam vínculo formal com a entidade e estejam formalmente autorizados a desempenhar as atribuições previstas nesta Portaria.</w:t>
      </w:r>
    </w:p>
    <w:p>
      <w:r>
        <w:t>§ 5º A EFPC deverá comunicar à PREVIC qualquer alteração ou substituição de seus gestores de acesso, conforme procedimentos definidos pela CGTI.</w:t>
      </w:r>
    </w:p>
    <w:p>
      <w:r>
        <w:t>§ 6º A ausência de atualização cadastral dos gestores de acesso poderá ensejar restrição, suspensão ou revisão dos acessos vinculados à EFPC, observado o risco à segurança da informação, à proteção de dados pessoais e à continuidade dos serviços.</w:t>
      </w:r>
    </w:p>
    <w:p>
      <w:r>
        <w:t>Art. 4º Compete aos gestores de acesso:</w:t>
      </w:r>
    </w:p>
    <w:p>
      <w:r>
        <w:t>I - administrar os perfis e permissões de acesso dos usuários da EFPC que representa aos sistemas institucionais da PREVIC;</w:t>
      </w:r>
    </w:p>
    <w:p>
      <w:r>
        <w:t>II - realizar a concessão, alteração, suspensão e revogação de acessos para os usuários vinculados à EFPC;</w:t>
      </w:r>
    </w:p>
    <w:p>
      <w:r>
        <w:t>III - acompanhar os acessos concedidos aos usuários da EFPC;</w:t>
      </w:r>
    </w:p>
    <w:p>
      <w:r>
        <w:t>IV - zelar pela adequada utilização dos acessos aos sistemas institucionais da PREVIC;</w:t>
      </w:r>
    </w:p>
    <w:p>
      <w:r>
        <w:t>V - verificar se os perfis solicitados são compatíveis com as atividades desempenhadas pelos usuários;</w:t>
      </w:r>
    </w:p>
    <w:p>
      <w:r>
        <w:t>VI - promover a revisão periódica dos acessos concedidos aos usuários vinculados à EFPC, conforme procedimento e periodicidade definidos pela PREVIC;</w:t>
      </w:r>
    </w:p>
    <w:p>
      <w:r>
        <w:t>VII - comunicar à PREVIC, tão logo tenham ciência, suspeita de uso indevido, compartilhamento, comprometimento, perda de controle ou utilização irregular de credenciais de acesso;</w:t>
      </w:r>
    </w:p>
    <w:p>
      <w:r>
        <w:t>VIII - realizar a revogação ou suspensão de acessos dos usuários da EFPC sempre que cessada a necessidade de utilização dos sistemas institucionais da PREVIC; e</w:t>
      </w:r>
    </w:p>
    <w:p>
      <w:r>
        <w:t>IX - manter atualizadas as informações dos usuários vinculados à EFPC, na forma dos procedimentos definidos pela PREVIC.</w:t>
      </w:r>
    </w:p>
    <w:p>
      <w:r>
        <w:t>Art. 5º Compete à EFPC:</w:t>
      </w:r>
    </w:p>
    <w:p>
      <w:r>
        <w:t>I - manter atualizadas, junto à PREVIC, as informações relativas aos gestores de acesso;</w:t>
      </w:r>
    </w:p>
    <w:p>
      <w:r>
        <w:t>II - observar os procedimentos e orientações definidos pela PREVIC para gestão de acessos aos sistemas institucionais;</w:t>
      </w:r>
    </w:p>
    <w:p>
      <w:r>
        <w:t>III - assegurar que os usuários indicados possuam vínculo formal ou autorização compatível com a finalidade do acesso solicitado;</w:t>
      </w:r>
    </w:p>
    <w:p>
      <w:r>
        <w:t>IV - orientar seus usuários quanto à utilização adequada, individual e intransferível das credenciais de acesso;</w:t>
      </w:r>
    </w:p>
    <w:p>
      <w:r>
        <w:t>V - comunicar tempestivamente à PREVIC qualquer alteração relacionada aos gestores de acesso cadastrados que implique a necessidade de atualização, suspensão ou revogação do acesso.</w:t>
      </w:r>
    </w:p>
    <w:p>
      <w:r>
        <w:t>VI - cooperar com a PREVIC em procedimentos de auditoria, verificação, apuração de uso indevido, tratamento de incidentes de segurança da informação e proteção de dados pessoais relacionados aos acessos concedidos; e</w:t>
      </w:r>
    </w:p>
    <w:p>
      <w:r>
        <w:t>VII - responsabilizar-se pela veracidade e atualidade das informações prestadas à PREVIC para fins de gestão de acessos.</w:t>
      </w:r>
    </w:p>
    <w:p>
      <w:r>
        <w:t>CAPÍTULO III</w:t>
      </w:r>
    </w:p>
    <w:p>
      <w:r>
        <w:t>DA GESTÃO DE ACESSOS E PERFIS</w:t>
      </w:r>
    </w:p>
    <w:p>
      <w:r>
        <w:t>Art. 6º Os acessos dos usuários das EFPC aos sistemas institucionais da PREVIC deverão ser concedidos pelos gestores de acesso indicados pela EFPC, conforme os perfis e permissões compatíveis com as atividades desempenhadas pelos usuários.</w:t>
      </w:r>
    </w:p>
    <w:p>
      <w:r>
        <w:t>Parágrafo único. A concessão de acesso deverá observar os princípios da necessidade de acesso, do menor privilégio, da segregação de funções, da rastreabilidade e da responsabilização individual pelo uso da credencial.</w:t>
      </w:r>
    </w:p>
    <w:p>
      <w:r>
        <w:t>Art. 7º Os gestores de acesso deverão atualizar, suspender ou revogar os acessos dos usuários vinculados à EFPC que representa, sempre que houver alteração nas atividades, desligamento ou perda da necessidade de utilização dos sistemas institucionais da PREVIC.</w:t>
      </w:r>
    </w:p>
    <w:p>
      <w:r>
        <w:t>§ 1º A atualização, suspensão ou revogação de acessos deverá ser realizada de forma tempestiva, conforme procedimento operacional definido pela CGTI.</w:t>
      </w:r>
    </w:p>
    <w:p>
      <w:r>
        <w:t>§ 2º A PREVIC poderá suspender acessos de forma cautelar quando houver indício de uso indevido, compartilhamento de credencial, comprometimento de conta, risco à segurança da informação, risco à proteção de dados pessoais ou necessidade de preservação da integridade dos sistemas institucionais.</w:t>
      </w:r>
    </w:p>
    <w:p>
      <w:r>
        <w:t>§ 3º A suspensão cautelar de que trata o § 2º não afasta a possibilidade de adoção de outras medidas administrativas, técnicas, jurídicas ou de comunicação institucional cabíveis.</w:t>
      </w:r>
    </w:p>
    <w:p>
      <w:r>
        <w:t>Art. 8º Os perfis de acesso deverão observar os critérios de necessidade e compatibilidade com as atividades desempenhadas pelos usuários vinculados à EFPC.</w:t>
      </w:r>
    </w:p>
    <w:p>
      <w:r>
        <w:t>§ 1º É vedada a concessão de perfis incompatíveis com a finalidade do acesso, com as atribuições desempenhadas pelo usuário ou com os procedimentos definidos pela PREVIC.</w:t>
      </w:r>
    </w:p>
    <w:p>
      <w:r>
        <w:t>§ 2º A PREVIC poderá revisar, restringir, suspender ou revogar perfis de acesso quando identificada incompatibilidade, desnecessidade, risco de uso indevido ou desconformidade com esta Portaria e demais normas aplicáveis.</w:t>
      </w:r>
    </w:p>
    <w:p>
      <w:r>
        <w:t>Art. 9º Os registros de concessão, alteração, suspensão e revogação de acessos realizados no sistema "ACESSO" serão mantidos para fins de controle, rastreabilidade e auditoria.</w:t>
      </w:r>
    </w:p>
    <w:p>
      <w:r>
        <w:t>§ 1º Os registros de que trata o caput poderão conter informações necessárias à identificação do usuário, do gestor responsável, do perfil concedido, da data e hora da operação, do tipo de operação realizada e de outros elementos necessários à segurança, auditoria e responsabilização.</w:t>
      </w:r>
    </w:p>
    <w:p>
      <w:r>
        <w:t>§ 2º O tratamento de dados pessoais realizado para fins de gestão de acessos deverá observar a legislação de proteção de dados pessoais, limitando-se aos dados necessários à identificação, autenticação, autorização, auditoria, rastreabilidade, segurança dos acessos e cumprimento de obrigações legais ou regulatórias da PREVIC.</w:t>
      </w:r>
    </w:p>
    <w:p>
      <w:r>
        <w:t>§ 3º Os prazos de retenção dos registros serão definidos em conformidade com a legislação aplicável, os instrumentos de gestão documental, as necessidades de auditoria, segurança da informação e proteção de dados pessoais.</w:t>
      </w:r>
    </w:p>
    <w:p>
      <w:r>
        <w:t>Art. 10. As credenciais de acesso aos sistemas institucionais da PREVIC são individuais, pessoais e intransferíveis.</w:t>
      </w:r>
    </w:p>
    <w:p>
      <w:r>
        <w:t>§ 1º É vedado o compartilhamento, empréstimo, cessão, divulgação ou uso coletivo de credenciais de acesso.</w:t>
      </w:r>
    </w:p>
    <w:p>
      <w:r>
        <w:t>§ 2º O usuário será responsável pelos atos praticados mediante sua credencial de acesso, ressalvadas as hipóteses de comprometimento, fraude ou uso indevido por terceiro devidamente comunicadas e apuradas.</w:t>
      </w:r>
    </w:p>
    <w:p>
      <w:r>
        <w:t>§ 3º A EFPC e os usuários deverão comunicar à PREVIC, tão logo tenham ciência, qualquer suspeita de uso indevido, comprometimento, perda de controle, exposição ou compartilhamento de credencial.</w:t>
      </w:r>
    </w:p>
    <w:p>
      <w:r>
        <w:t>CAPÍTULO IV</w:t>
      </w:r>
    </w:p>
    <w:p>
      <w:r>
        <w:t>DO ACESSO DE USUÁRIOS EXTERNOS VINCULADOS À EFPC AO SISTEMA ELETRÔNICO DE INFORMAÇÕES - SEI</w:t>
      </w:r>
    </w:p>
    <w:p>
      <w:r>
        <w:t>Art. 11. O acesso de usuários externos vinculados às EFPC ao Sistema Eletrônico de Informações - SEI observará os procedimentos definidos pela PREVIC e as normas específicas aplicáveis ao processo eletrônico.</w:t>
      </w:r>
    </w:p>
    <w:p>
      <w:r>
        <w:t>§ 1º O acesso ao SEI deverá ser solicitado conforme orientações, procedimentos e formulários disponibilizados pela PREVIC.</w:t>
      </w:r>
    </w:p>
    <w:p>
      <w:r>
        <w:t>§ 2º Os usuários externos serão responsáveis pela guarda e utilização adequada de suas credenciais de acesso.</w:t>
      </w:r>
    </w:p>
    <w:p>
      <w:r>
        <w:t>§ 3º O uso do SEI por usuários externos vinculados às EFPC deverá observar a finalidade do acesso concedido, a legislação aplicável ao processo administrativo eletrônico, as regras de assinatura eletrônica e as orientações operacionais disponibilizadas pela PREVIC.</w:t>
      </w:r>
    </w:p>
    <w:p>
      <w:r>
        <w:t>CAPÍTULO V</w:t>
      </w:r>
    </w:p>
    <w:p>
      <w:r>
        <w:t>DAS COMPETÊNCIAS DA COORDENAÇÃO-GERAL DE TECNOLOGIA DA INFORMAÇÃO - CGTI</w:t>
      </w:r>
    </w:p>
    <w:p>
      <w:r>
        <w:t>Art. 13. Compete à CGTI:</w:t>
      </w:r>
    </w:p>
    <w:p>
      <w:r>
        <w:t>I - administrar os procedimentos relacionados à gestão de acessos aos sistemas institucionais da PREVIC;</w:t>
      </w:r>
    </w:p>
    <w:p>
      <w:r>
        <w:t>II - manter e disponibilizar o sistema "ACESSO";</w:t>
      </w:r>
    </w:p>
    <w:p>
      <w:r>
        <w:t>III - orientar as EFPC quanto aos procedimentos relacionados à gestão de acessos;</w:t>
      </w:r>
    </w:p>
    <w:p>
      <w:r>
        <w:t>IV - realizar o acompanhamento dos procedimentos relacionados à gestão de acessos aos sistemas institucionais;</w:t>
      </w:r>
    </w:p>
    <w:p>
      <w:r>
        <w:t>V - definir procedimentos operacionais complementares relacionados à gestão de acessos.</w:t>
      </w:r>
    </w:p>
    <w:p>
      <w:r>
        <w:t>VI - disponibilizar orientações, manuais, formulários, fluxos, canais de atendimento e demais instrumentos necessários à execução desta Portaria;</w:t>
      </w:r>
    </w:p>
    <w:p>
      <w:r>
        <w:t>VII - implementar, quando tecnicamente viável, melhorias nos controles destinados à rastreabilidade, auditoria, segurança e integridade dos acessos aos sistemas institucionais da PREVIC;</w:t>
      </w:r>
    </w:p>
    <w:p>
      <w:r>
        <w:t>VIII - apoiar a apuração técnica de indícios de uso indevido, comprometimento de credenciais ou incidentes relacionados aos acessos aos sistemas institucionais da PREVIC; e</w:t>
      </w:r>
    </w:p>
    <w:p>
      <w:r>
        <w:t>IX - articular-se com as unidades competentes da PREVIC nos casos que envolvam segurança da informação, proteção de dados pessoais, processo eletrônico, gestão documental, correição, fiscalização ou supervisão.</w:t>
      </w:r>
    </w:p>
    <w:p>
      <w:r>
        <w:t>Parágrafo único. Os procedimentos operacionais complementares editados pela CGTI deverão limitar-se à execução desta Portaria e das normas superiores aplicáveis, vedada a criação de obrigações materiais não previstas neste ato ou em norma superior.</w:t>
      </w:r>
    </w:p>
    <w:p>
      <w:r>
        <w:t>CAPÍTULO VI</w:t>
      </w:r>
    </w:p>
    <w:p>
      <w:r>
        <w:t>DISPOSIÇÕES FINAIS</w:t>
      </w:r>
    </w:p>
    <w:p>
      <w:r>
        <w:t>Art. 14. Os procedimentos operacionais relacionados à gestão de acessos aos sistemas institucionais da PREVIC serão divulgados e mantidos atualizados nos canais oficiais da Autarquia.</w:t>
      </w:r>
    </w:p>
    <w:p>
      <w:r>
        <w:t>Parágrafo único. O suporte e o atendimento relacionados à gestão de acessos serão realizados conforme os procedimentos operacionais divulgados nos canais oficiais da PREVIC.</w:t>
      </w:r>
    </w:p>
    <w:p>
      <w:r>
        <w:t>Art. 15. As EFPC e os usuários dos sistemas institucionais da PREVIC deverão observar as orientações e procedimentos operacionais definidos pela CGTI, nos limites desta Portaria e das normas superiores aplicáveis.</w:t>
      </w:r>
    </w:p>
    <w:p>
      <w:r>
        <w:t>Art. 16. Os usuários externos deverão utilizar os sistemas institucionais da PREVIC exclusivamente para as atividades relacionadas à EFPC e às finalidades para as quais o acesso tenha sido concedido.</w:t>
      </w:r>
    </w:p>
    <w:p>
      <w:r>
        <w:t>Parágrafo único. A utilização indevida dos acessos poderá resultar na suspensão ou revogação das permissões concedidas, sem prejuízo das demais medidas administrativas, técnicas, civis, penais ou regulatórias cabíveis.</w:t>
      </w:r>
    </w:p>
    <w:p>
      <w:r>
        <w:t>Art. 17. As EFPC terão prazo de até sessenta dias, contado da data de publicação desta Portaria, para adequar o cadastro de seus gestores titular e suplente de acesso, conforme procedimentos definidos pela PREVIC.</w:t>
      </w:r>
    </w:p>
    <w:p>
      <w:r>
        <w:t>§ 1º Durante o prazo de adequação previsto no caput, os acessos vigentes poderão ser mantidos, sem prejuízo da possibilidade de revisão, suspensão ou revogação pela PREVIC em caso de risco à segurança da informação, à proteção de dados pessoais ou à integridade dos sistemas institucionais.</w:t>
      </w:r>
    </w:p>
    <w:p>
      <w:r>
        <w:t>§ 2º Decorrido o prazo previsto no caput, a ausência de indicação regular de gestor titular e gestor suplente poderá ensejar restrição ou suspensão de funcionalidades de gestão de acesso pela EFPC, observados os procedimentos definidos pela PREVIC.</w:t>
      </w:r>
    </w:p>
    <w:p>
      <w:r>
        <w:t>Art. 18. Os casos omissos serão tratados pela CGTI, no âmbito de suas competências, sem prejuízo da atuação das demais unidades competentes da PREVIC.</w:t>
      </w:r>
    </w:p>
    <w:p>
      <w:r>
        <w:t>Art. 19. Esta Portaria entra em vigor na data de sua publicação.</w:t>
      </w:r>
    </w:p>
    <w:p>
      <w:r>
        <w:t>ALCINEI CARDOSO RODRIGUES</w:t>
      </w:r>
    </w:p>
    <w:p>
      <w:pPr>
        <w:pStyle w:val="Heading2"/>
      </w:pPr>
      <w:r>
        <w:t>Portaria Previc Nº 580, DE 29 DE julho DE 2026</w:t>
      </w:r>
    </w:p>
    <w:p>
      <w:r>
        <w:t>Categoria: Ministério da Previdência Social/Superintendência Nacional de Previdência Complementar/Diretoria de Licenciamento</w:t>
      </w:r>
    </w:p>
    <w:p>
      <w:r>
        <w:t>Página: 54</w:t>
      </w:r>
    </w:p>
    <w:p/>
    <w:p>
      <w:r>
        <w:t>Portaria Previc Nº 580, DE 29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44011.002245/2026-65, resolve:</w:t>
      </w:r>
    </w:p>
    <w:p>
      <w:r>
        <w:t>Art.1º Aprovar as alterações propostas ao regulamento do Plano Setorial Famíllia SABESPREV, CNPB nº 2022.0027-92, administrado pela Fundação SABESP de Seguridade Social-SABESPREV, CNPJ nº 65.471.914/0001-86.</w:t>
      </w:r>
    </w:p>
    <w:p>
      <w:r>
        <w:t>Art.2º Esta Portaria entra em vigor na data de sua publicação.</w:t>
      </w:r>
    </w:p>
    <w:p>
      <w:r>
        <w:t>GUILHERME CAPRIATA VACCARO CAMPELO BEZERRA</w:t>
      </w:r>
    </w:p>
    <w:p>
      <w:pPr>
        <w:pStyle w:val="Heading2"/>
      </w:pPr>
      <w:r>
        <w:t>Portaria Previc Nº 587, DE 31 DE julho DE 2026</w:t>
      </w:r>
    </w:p>
    <w:p>
      <w:r>
        <w:t>Categoria: Ministério da Previdência Social/Superintendência Nacional de Previdência Complementar/Diretoria de Licenciamento</w:t>
      </w:r>
    </w:p>
    <w:p>
      <w:r>
        <w:t>Página: 54</w:t>
      </w:r>
    </w:p>
    <w:p/>
    <w:p>
      <w:r>
        <w:t>Portaria Previc Nº 587, DE 31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44011.012965/2025-58, resolve:</w:t>
      </w:r>
    </w:p>
    <w:p>
      <w:r>
        <w:t>Art.1º Aprovar as alterações propostas ao regulamento do Plano de Previdência dos Cartórios, CNPB nº 2007.0014-38, administrado pelo Icatu Fundo Multipatrocinado, CNPJ nº 01.129.017/0001-06.</w:t>
      </w:r>
    </w:p>
    <w:p>
      <w:r>
        <w:t>Art.2º Esta Portaria entra em vigor na data de sua publicação.</w:t>
      </w:r>
    </w:p>
    <w:p>
      <w:r>
        <w:t>GUILHERME CAPRIATA VACCARO CAMPELO BEZERRA</w:t>
      </w:r>
    </w:p>
    <w:p>
      <w:pPr>
        <w:pStyle w:val="Heading2"/>
      </w:pPr>
      <w:r>
        <w:t>Portaria Previc Nº 599, DE 5 DE agosto DE 2026</w:t>
      </w:r>
    </w:p>
    <w:p>
      <w:r>
        <w:t>Categoria: Ministério da Previdência Social/Superintendência Nacional de Previdência Complementar/Diretoria de Licenciamento</w:t>
      </w:r>
    </w:p>
    <w:p>
      <w:r>
        <w:t>Página: 54</w:t>
      </w:r>
    </w:p>
    <w:p/>
    <w:p>
      <w:r>
        <w:t>Portaria Previc Nº 599, DE 5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44011.002035/2026-77, resolve:</w:t>
      </w:r>
    </w:p>
    <w:p>
      <w:r>
        <w:t>Art. 1º Aprovar as alterações propostas ao regulamento do Plano de Benefícios nº 006 - DME, CNPB nº 1994.0028-83, administrado pela SUPREV - Fundação Multipatrocinada de Suplementação Previdenciária, CNPJ nº 49.323.025/0001-15.</w:t>
      </w:r>
    </w:p>
    <w:p>
      <w:r>
        <w:t>Art. 2º Esta Portaria entra em vigor na data de sua publicação.</w:t>
      </w:r>
    </w:p>
    <w:p>
      <w:r>
        <w:t>GUILHERME CAPRIATA VACCARO CAMPELO BEZERRA</w:t>
      </w:r>
    </w:p>
    <w:p>
      <w:r>
        <w:br w:type="page"/>
      </w:r>
    </w:p>
    <w:p>
      <w:pPr>
        <w:pStyle w:val="Heading1"/>
      </w:pPr>
      <w:r>
        <w:t>2026-08-11</w:t>
      </w:r>
    </w:p>
    <w:p>
      <w:pPr>
        <w:pStyle w:val="Heading2"/>
      </w:pPr>
      <w:r>
        <w:t>RESOLUÇÃO BCB Nº 584, DE 7 DE AGOSTO DE 2026</w:t>
      </w:r>
    </w:p>
    <w:p>
      <w:pPr>
        <w:pStyle w:val="ListBullet"/>
      </w:pPr>
      <w:r>
        <w:t>Ementa: Altera a Resolução BCB nº 142, de 23 de setembro de 2021, que dispõe sobre procedimentos e controles para prevenção de fraudes na prestação de serviços de pagamento a serem adotados pelas instituições financeiras, demais instituições autorizadas a funcionar pelo Banco Central do Brasil e instituições de pagamento integrantes do Sistema de Pagamentos Brasileiro - SPB.</w:t>
      </w:r>
    </w:p>
    <w:p>
      <w:r>
        <w:t>Categoria: Banco Central do Brasil/Diretoria Colegiada</w:t>
      </w:r>
    </w:p>
    <w:p>
      <w:r>
        <w:t>Página: 91</w:t>
      </w:r>
    </w:p>
    <w:p/>
    <w:p>
      <w:r>
        <w:t>RESOLUÇÃO BCB Nº 584, DE 7 DE AGOSTO DE 2026</w:t>
      </w:r>
    </w:p>
    <w:p>
      <w:r>
        <w:t>Altera a Resolução BCB nº 142, de 23 de setembro de 2021, que dispõe sobre procedimentos e controles para prevenção de fraudes na prestação de serviços de pagamento a serem adotados pelas instituições financeiras, demais instituições autorizadas a funcionar pelo Banco Central do Brasil e instituições de pagamento integrantes do Sistema de Pagamentos Brasileiro - SPB.</w:t>
      </w:r>
    </w:p>
    <w:p>
      <w:r>
        <w:t>A Diretoria Colegiada do Banco Central do Brasil, em sessão realizada em 6 de agosto de 2026, com base nos arts. 9º, caput, incisos II, IX e X, da Lei nº 12.865, de 9 de outubro de 2013, 4º a 6º e 9º da Lei nº 14.478, de 21 de dezembro de 2022, e 1º e 2º do Decreto nº 11.563, de 13 de junho de 2023, resolve:</w:t>
      </w:r>
    </w:p>
    <w:p>
      <w:r>
        <w:t>Art. 1º A ementa da Resolução BCB nº 142, de 23 de setembro de 2021, publicada no Diário Oficial da União de 24 de setembro de 2021, passa a vigorar com as seguintes alterações:</w:t>
      </w:r>
    </w:p>
    <w:p>
      <w:r>
        <w:t>"Dispõe sobre procedimentos e controles para prevenção de fraudes na prestação de serviços de pagamento e na prestação de serviços de ativos virtuais." (NR)</w:t>
      </w:r>
    </w:p>
    <w:p>
      <w:r>
        <w:t>Art. 2º A Resolução BCB nº 142, de 23 de setembro de 2021, publicada no Diário Oficial da União de 24 de setembro de 2021, passa a vigorar com as seguintes alterações:</w:t>
      </w:r>
    </w:p>
    <w:p>
      <w:r>
        <w:t>"Art. 1º Esta Resolução dispõe sobre procedimentos e controles para prevenção de fraudes na prestação de serviços de pagamento e na prestação de serviços de ativos virtuais a serem adotados pelas instituições financeiras e demais instituições autorizadas a funcionar pelo Banco Central do Brasil, sociedades prestadoras de serviços de ativos virtuais e instituições de pagamento integrantes do Sistema de Pagamentos Brasileiro - SPB.</w:t>
      </w:r>
    </w:p>
    <w:p>
      <w:r>
        <w:t>Parágrafo único. O disposto nesta Resolução aplica-se também às sociedades prestadoras de serviços de ativos virtuais em fase de adequação, nos termos do art. 88, § 2º, da Resolução BCB nº 520, de 10 de novembro de 2025." (NR)</w:t>
      </w:r>
    </w:p>
    <w:p>
      <w:r>
        <w:t>"Art. 2º-A ...............................................................................</w:t>
      </w:r>
    </w:p>
    <w:p>
      <w:r>
        <w:t>.................................................................................................</w:t>
      </w:r>
    </w:p>
    <w:p>
      <w:r>
        <w:t>§ 5º A avaliação de que trata o § 2º deve ser compatível com o regulamento ou instrumento que discipline o funcionamento do arranjo de pagamento referente à transação de pagamento." (NR)</w:t>
      </w:r>
    </w:p>
    <w:p>
      <w:r>
        <w:t>"Art. 2º-B As instituições referidas no art. 1º, quando prestarem serviços de ativos virtuais ou executarem transações de pagamento relacionadas à prestação desses serviços, somente podem executar ordens de transferência desses ativos vinte e quatro horas após o recebimento dos respectivos recursos de aporte na carteira, em reais ou na forma de ativos virtuais, quando a transferência tiver por destino:</w:t>
      </w:r>
    </w:p>
    <w:p>
      <w:r>
        <w:t>I - entidade constituída no exterior que desempenhe atividades no mercado de ativos virtuais; ou</w:t>
      </w:r>
    </w:p>
    <w:p>
      <w:r>
        <w:t>II - carteira autocustodiada, conforme definida nos termos de regulamentação específica.</w:t>
      </w:r>
    </w:p>
    <w:p>
      <w:r>
        <w:t>§ 1º A retenção de que trata o caput:</w:t>
      </w:r>
    </w:p>
    <w:p>
      <w:r>
        <w:t>I - tem caráter exclusivamente cautelar e se destina à realização de análise de risco da respectiva operação;</w:t>
      </w:r>
    </w:p>
    <w:p>
      <w:r>
        <w:t>II - não implica indisponibilidade definitiva de ativos; e</w:t>
      </w:r>
    </w:p>
    <w:p>
      <w:r>
        <w:t>III - deve ser aplicada em operações que:</w:t>
      </w:r>
    </w:p>
    <w:p>
      <w:r>
        <w:t>a) superem o valor equivalente a US$10.000,00 (dez mil dólares dos Estados Unidos) ou o seu equivalente em outras moedas por operação ou pelo valor total de operações realizadas no mesmo dia em nome do cliente; ou</w:t>
      </w:r>
    </w:p>
    <w:p>
      <w:r>
        <w:t>b) caracterizem, nos termos das políticas, estratégias e estruturas para gerenciamento de riscos da instituição, a necessidade de retenção para realização de análise de risco da respectiva operação, observado o disposto no § 2º.</w:t>
      </w:r>
    </w:p>
    <w:p>
      <w:r>
        <w:t>§ 2º As instituições referidas no art. 1º devem assegurar que suas políticas, estratégias e estruturas para gerenciamento de riscos previstas na regulamentação contemplem critérios para o acionamento da retenção no caso previsto no inciso III, alínea "b", do § 1º, observados critérios compatíveis, no mínimo, com os perfis de risco:</w:t>
      </w:r>
    </w:p>
    <w:p>
      <w:r>
        <w:t>I - do cliente;</w:t>
      </w:r>
    </w:p>
    <w:p>
      <w:r>
        <w:t>II - da operação ou do serviço prestado;</w:t>
      </w:r>
    </w:p>
    <w:p>
      <w:r>
        <w:t>III - da contraparte; e</w:t>
      </w:r>
    </w:p>
    <w:p>
      <w:r>
        <w:t>IV - da jurisdição onde a entidade está sediada.</w:t>
      </w:r>
    </w:p>
    <w:p>
      <w:r>
        <w:t>§ 3º A instituição deve comunicar ao cliente a efetivação da retenção de que trata o caput, com indicação, de forma clara e adequada:</w:t>
      </w:r>
    </w:p>
    <w:p>
      <w:r>
        <w:t>I - da natureza cautelar da medida de que trata o inciso I do § 1º; e</w:t>
      </w:r>
    </w:p>
    <w:p>
      <w:r>
        <w:t>II - do prazo aplicável, citado no caput.</w:t>
      </w:r>
    </w:p>
    <w:p>
      <w:r>
        <w:t>§ 4º Concluída a análise de risco de que trata o inciso I do § 1º, a instituição deve, decorrido o prazo de que trata o caput:</w:t>
      </w:r>
    </w:p>
    <w:p>
      <w:r>
        <w:t>I - cessar imediatamente a retenção de que trata o caput; ou</w:t>
      </w:r>
    </w:p>
    <w:p>
      <w:r>
        <w:t>II - rejeitar as operações.</w:t>
      </w:r>
    </w:p>
    <w:p>
      <w:r>
        <w:t>§ 5º É facultado à instituição cessar a retenção das operações antes do prazo de que trata o caput com base em decisão fundamentada, contemplando, no mínimo, os critérios dispostos no § 2º.</w:t>
      </w:r>
    </w:p>
    <w:p>
      <w:r>
        <w:t>§ 6º A decisão, a sua fundamentação e os critérios de que trata o § 5º devem ser documentados.</w:t>
      </w:r>
    </w:p>
    <w:p>
      <w:r>
        <w:t>§ 7º Caso, em análise superveniente, seja constatado o exercício indevido da faculdade de que trata o § 5º, a documentação de que trata o § 6º deve estar acompanhada de documento adicional, contendo as medidas efetivamente adotadas para a correção dos sistemas de controles internos da instituição.</w:t>
      </w:r>
    </w:p>
    <w:p>
      <w:r>
        <w:t>§ 8º A documentação de que tratam os §§ 6º e 7º deve ficar disponível para remessa ao Banco Central do Brasil, na forma definida no art. 6º-A, caput, inciso II.</w:t>
      </w:r>
    </w:p>
    <w:p>
      <w:r>
        <w:t>§ 9º Para fins desta Resolução, aplica-se a retenção de que trata o caput aos serviços de ativos virtuais previstos no art. 5º, caput, incisos I a V, da Lei nº 14.478, de 21 de dezembro de 2022, incluídos ativos virtuais referenciados em moeda fiduciária (stablecoins).</w:t>
      </w:r>
    </w:p>
    <w:p>
      <w:r>
        <w:t>§ 10. O disposto neste artigo não afasta a aplicação do disposto nesta Resolução e nas demais normas relativas à prevenção de fraudes, à prevenção à lavagem de dinheiro e ao financiamento do terrorismo e ao cumprimento de outras medidas estabelecidas na legislação e na regulamentação." (NR)</w:t>
      </w:r>
    </w:p>
    <w:p>
      <w:r>
        <w:t>"Art. 4º As instituições mencionadas no art. 1º devem manter registros diários detalhando as ocorrências de fraudes ou de tentativas de fraude na prestação de serviços de pagamento e de serviços de ativos virtuais, discriminando inclusive as medidas corretivas adotadas.</w:t>
      </w:r>
    </w:p>
    <w:p>
      <w:r>
        <w:t>........................................................................................." (NR)</w:t>
      </w:r>
    </w:p>
    <w:p>
      <w:r>
        <w:t>"Art. 6º-A O Banco Central do Brasil poderá, entre outras medidas, no desempenho de suas atribuições legais:</w:t>
      </w:r>
    </w:p>
    <w:p>
      <w:r>
        <w:t>I - definir a periodicidade, o conteúdo mínimo e os procedimentos operacionais para a remessa da documentação de que trata o art. 2º-B, §§ 6º e 7º; e</w:t>
      </w:r>
    </w:p>
    <w:p>
      <w:r>
        <w:t>II - a qualquer tempo, quanto a instituição específica ou a conjunto de instituições, desde que constatada a inobservância do disposto nesta Resolução, impor:</w:t>
      </w:r>
    </w:p>
    <w:p>
      <w:r>
        <w:t>a) a observância de prazo superior àquele de vinte e quatro horas previsto no art. 2º-B, caput;</w:t>
      </w:r>
    </w:p>
    <w:p>
      <w:r>
        <w:t>b) a observância do procedimento de que trata o art. 2º-B em operações de valores inferiores ao previsto no § 1º, inciso III, alínea "a", daquele artigo; e</w:t>
      </w:r>
    </w:p>
    <w:p>
      <w:r>
        <w:t>c) restrições ao exercício da faculdade de que trata o art. 2º-B, § 5º." (NR)</w:t>
      </w:r>
    </w:p>
    <w:p>
      <w:r>
        <w:t>Art. 3º Esta Resolução entra em vigor em 1º de janeiro de 2027.</w:t>
      </w:r>
    </w:p>
    <w:p>
      <w:r>
        <w:t>GILNEU FRANCISCO ASTOLFI VIVAN</w:t>
      </w:r>
    </w:p>
    <w:p>
      <w:r>
        <w:t>Diretor de Regulação</w:t>
      </w:r>
    </w:p>
    <w:p>
      <w:pPr>
        <w:pStyle w:val="Heading2"/>
      </w:pPr>
      <w:r>
        <w:t>PORTARIA CGCCR/SUSEP nº 19, de 3 de AGOSTO de 2026</w:t>
      </w:r>
    </w:p>
    <w:p>
      <w:r>
        <w:t>Categoria: Ministério da Fazenda/Superintendência de Seguros Privados/Diretoria de Organização de Mercado e Regulação de Conduta/Coordenação-Geral de Credenciamentos, Cadastros e Regimes Especiais</w:t>
      </w:r>
    </w:p>
    <w:p>
      <w:r>
        <w:t>Página: 34</w:t>
      </w:r>
    </w:p>
    <w:p/>
    <w:p>
      <w:r>
        <w:t>PORTARIA CGCCR/SUSEP nº 19, de 3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III do art. 4º da Lei Complementar nº 126, de 15 de janeiro de 2007, no inciso II do art. 5º, da Resolução CNSP nº 422, de 11 de novembro de 2021, e o que consta do processo Susep nº 15414.635371/2026-60, resolve:</w:t>
      </w:r>
    </w:p>
    <w:p>
      <w:r>
        <w:t>Art.1° Fica homologada a nomeação do Sr. Caio Vasconcelos Araújo, nos termos do artigo 35 da Circular SUSEP nº 700, de 2024, como Procurador da FIDELIDADE - COMPANHIA DE SEGUROS S.A., sociedade devidamente constituída e existente segundo as leis de Portugal, cadastrada junto à SUSEP como resseguradora eventual, nos termos da Portaria Diore/Susep nº 54, de 21 de março de 2025.</w:t>
      </w:r>
    </w:p>
    <w:p>
      <w:r>
        <w:t>Art. 2º Esta portaria entra em vigor na data de sua publicação.</w:t>
      </w:r>
    </w:p>
    <w:p>
      <w:r>
        <w:t>JONAS DOS SANTOS SOUSA</w:t>
      </w:r>
    </w:p>
    <w:p>
      <w:pPr>
        <w:pStyle w:val="Heading2"/>
      </w:pPr>
      <w:r>
        <w:t>PORTARIA CGCCR/SUSEP nº 24, de 7 de AGOSTO de 2026</w:t>
      </w:r>
    </w:p>
    <w:p>
      <w:r>
        <w:t>Categoria: Ministério da Fazenda/Superintendência de Seguros Privados/Diretoria de Organização de Mercado e Regulação de Conduta/Coordenação-Geral de Credenciamentos, Cadastros e Regimes Especiais</w:t>
      </w:r>
    </w:p>
    <w:p>
      <w:r>
        <w:t>Página: 34</w:t>
      </w:r>
    </w:p>
    <w:p/>
    <w:p>
      <w:r>
        <w:t>PORTARIA CGCCR/SUSEP nº 24, de 7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III do art. 4º da Lei Complementar nº 126, de 15 de janeiro de 2007, no inciso II do art. 5º, no §2º do art. 26 e no §7º do art. 28, todos da Resolução CNSP nº 422, de 11 de novembro de 2021, e o que consta do processo Susep nº 15414.636160/2026-44, resolve:</w:t>
      </w:r>
    </w:p>
    <w:p>
      <w:r>
        <w:t>Art.1° Fica homologada a atualização cadastral anual de 2026 de XL SPECIALTY INSURANCE COMPANY, sociedade organizada e constituída de acordo com as leis do Estado de Delaware, Estados Unidos da América, cadastrada junto à SUSEP como resseguradora eventual, nos termos da Portaria SUSEP/DIR1 Nº 72, de 09 de dezembro de 2021.</w:t>
      </w:r>
    </w:p>
    <w:p>
      <w:r>
        <w:t>Art. 2º Fica ratificado que a Sra. Thisiani Gisele Matsumura Martins e o Sr. Renato José Sant´anna Rosa exercem a função de procuradores da Resseguradora.</w:t>
      </w:r>
    </w:p>
    <w:p>
      <w:r>
        <w:t>Art. 3º Esta portaria entra em vigor na data de sua publicação.</w:t>
      </w:r>
    </w:p>
    <w:p>
      <w:r>
        <w:t>JONAS DOS SANTOS SOUSA</w:t>
      </w:r>
    </w:p>
    <w:p>
      <w:pPr>
        <w:pStyle w:val="Heading2"/>
      </w:pPr>
      <w:r>
        <w:t>PORTARIA CGCCR/SUSEP nº 25, de 7 de AGOSTO de 2026</w:t>
      </w:r>
    </w:p>
    <w:p>
      <w:r>
        <w:t>Categoria: Ministério da Fazenda/Superintendência de Seguros Privados/Diretoria de Organização de Mercado e Regulação de Conduta/Coordenação-Geral de Credenciamentos, Cadastros e Regimes Especiais</w:t>
      </w:r>
    </w:p>
    <w:p>
      <w:r>
        <w:t>Página: 34</w:t>
      </w:r>
    </w:p>
    <w:p/>
    <w:p>
      <w:r>
        <w:t>PORTARIA CGCCR/SUSEP nº 25, de 7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III do art. 4º da Lei Complementar nº 126, de 15 de janeiro de 2007, no inciso II do art. 5º, no §2º do art. 26 e no §7º do art. 28, todos da Resolução CNSP nº 422, de 11 de novembro de 2021, e o que consta do processo Susep nº 15414.635956/2026-80, resolve:</w:t>
      </w:r>
    </w:p>
    <w:p>
      <w:r>
        <w:t>Art.1° Fica homologada a atualização cadastral anual de 2026, de Korean Reinsurance Company, sociedade organizada e constituída de acordo com as leis da República da Coréia, cadastrada junto à SUSEP como resseguradora eventual, nos termos da Portaria Susep nº 3.182, de 13 de fevereiro de 2009.</w:t>
      </w:r>
    </w:p>
    <w:p>
      <w:r>
        <w:t>Art. 2º Fica ratificado que a Sra. Maria Alice Nogueira de Sá Pikielny Schmuziger exerce a função de procuradora da Resseguradora.</w:t>
      </w:r>
    </w:p>
    <w:p>
      <w:r>
        <w:t>Art. 3º Esta portaria entra em vigor na data de sua publicação.</w:t>
      </w:r>
    </w:p>
    <w:p>
      <w:r>
        <w:t>JONAS DOS SANTOS SOUSA</w:t>
      </w:r>
    </w:p>
    <w:p>
      <w:pPr>
        <w:pStyle w:val="Heading2"/>
      </w:pPr>
      <w:r>
        <w:t>PORTARIA CGAUT/SUSEP nº 125, de 10 de AGOSTO de 2026</w:t>
      </w:r>
    </w:p>
    <w:p>
      <w:r>
        <w:t>Categoria: Ministério da Fazenda/Superintendência de Seguros Privados/Diretoria de Organização de Mercado e Regulação de Conduta/Coordenação-Geral de Autorizações</w:t>
      </w:r>
    </w:p>
    <w:p>
      <w:r>
        <w:t>Página: 34</w:t>
      </w:r>
    </w:p>
    <w:p/>
    <w:p>
      <w:r>
        <w:t>PORTARIA CGAUT/SUSEP nº 125, de 10 de AGOSTO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 go 36 do Decreto-Lei nº 73, de 21 de novembro de 1966, com base nos incisos I e V do ar go 5º da Resolução CNSP nº 422, de 11 de novembro de 2021, e o que consta do processo Susep nº 15414.624239/2026-22, resolve:</w:t>
      </w:r>
    </w:p>
    <w:p>
      <w:r>
        <w:t>Art. 1º Ficam homologadas as seguintes deliberações tomadas pelo acionista único de TRADITIO COMPANHIA DE SEGUROS, CNPJ nº 33.041.062/0001-09, com sede na cidade do Rio de Janeiro - RJ, nas assembleias gerais ordinária e extraordinária realizadas cumulativamente em 31 de março de 2026:</w:t>
      </w:r>
    </w:p>
    <w:p>
      <w:r>
        <w:t>I - eleição de membros da diretoria;</w:t>
      </w:r>
    </w:p>
    <w:p>
      <w:r>
        <w:t>II - aumento de capital social em R$ 2.976.280,22, elevando-o para R$ 4.709.427.357,59, dividido em 7.746.320 ações, sendo 4.122.443 ordinárias e 3.623.877 preferenciais, todas nominativas e sem valor nomina; e</w:t>
      </w:r>
    </w:p>
    <w:p>
      <w:r>
        <w:t>III - reforma e consolidação do estatuto social.</w:t>
      </w:r>
    </w:p>
    <w:p>
      <w:r>
        <w:t>Art. 2º Esta portaria entra em vigor na data de sua publicação.</w:t>
      </w:r>
    </w:p>
    <w:p>
      <w:r>
        <w:t>MAUREL ALEXIS WEICHERT</w:t>
      </w:r>
    </w:p>
    <w:p>
      <w:pPr>
        <w:pStyle w:val="Heading2"/>
      </w:pPr>
      <w:r>
        <w:t>DESPACHO DECISÓRIO CD/ANPD N° 122/2026</w:t>
      </w:r>
    </w:p>
    <w:p>
      <w:r>
        <w:t>Categoria: Ministério da Justiça e Segurança Pública/Agência Nacional de Proteção de Dados</w:t>
      </w:r>
    </w:p>
    <w:p>
      <w:r>
        <w:t>Página: 59</w:t>
      </w:r>
    </w:p>
    <w:p/>
    <w:p>
      <w:r>
        <w:t>DESPACHO DECISÓRIO CD/ANPD N° 122/2026</w:t>
      </w:r>
    </w:p>
    <w:p>
      <w:r>
        <w:t>O CONSELHO DIRETOR DA AGÊNCIA NACIONAL DE PROTEÇÃO DE DADOS, no uso das atribuições que lhe conferem o art. 34 da Lei nº 15.211, de 17 de setembro de 2025 e o art. 2º do Decreto nº 12.622, de 17 de setembro de 2025, que designa a ANPD como autoridade administrativa autônoma de proteção de crianças e adolescentes em ambientes digitais, com competência para fiscalizar o cumprimento da Lei e editar normas complementares.</w:t>
      </w:r>
    </w:p>
    <w:p>
      <w:r>
        <w:t>CONSIDERANDO que o art. 31 da Lei nº 15.211, de 2025, criou a obrigação de elaboração de relatórios semestrais de transparência, em língua portuguesa, a serem publicados no sítio eletrônico dos provedores de aplicações de internet direcionadas a crianças e a adolescentes ou de acesso provável por eles que possuírem mais de 1.000.000 (um milhão) de usuários nessa faixa etária registrados, com conexão de internet no território nacional, observado, ainda, o disposto no art. 45 do Decreto nº 12.880, de 2026;</w:t>
      </w:r>
    </w:p>
    <w:p>
      <w:r>
        <w:t>CONSIDERANDO a oportunidade de fornecer esclarecimentos quanto à contagem do prazo para a elaboração e a publicação do primeiro relatório semestral, sem prejuízo de eventual superveniência de regulamento;</w:t>
      </w:r>
    </w:p>
    <w:p>
      <w:r>
        <w:t>CONSIDERANDO que o art. 41-A da Lei nº 15.211, de 2025, com a redação dada pela Lei nº 15.352, de 2026, fixa a data de 17 de março de 2026 como termo inicial de vigência das obrigações previstas na Lei; e</w:t>
      </w:r>
    </w:p>
    <w:p>
      <w:r>
        <w:t>CONSIDERANDO o disposto no art. 39 da Lei nº 15.211, de 2025, que modula a aplicação da obrigação prevista no art. 31 e estabelece hipóteses de dispensa de seu cumprimento; decide:</w:t>
      </w:r>
    </w:p>
    <w:p>
      <w:r>
        <w:t>I- Comunicar que o prazo relativo à obrigação de publicação dos relatórios semestrais de transparência prevista no art. 31 da Lei nº 15.211, de 2025, conta-se a partir da entrada em vigor da Lei, em 17 de março de 2026, nos termos de seu art. 41-A.</w:t>
      </w:r>
    </w:p>
    <w:p>
      <w:r>
        <w:t>II- Esclarecer que o primeiro relatório deverá abranger o período compreendido entre 1º de janeiro de 2026 e 30 de junho de 2026. Considerando que a obrigação legal somente passou a viger a partir de 17 de março de 2026, os provedores que não disponham de informações relativas aos meses de janeiro e fevereiro de 2026 poderão limitar o relatório inicial ao período compreendido entre 17 de março e 30 de junho de 2026, sem prejuízo de que os relatórios subsequentes passem a coincidir com os semestres civis regulares.</w:t>
      </w:r>
    </w:p>
    <w:p>
      <w:r>
        <w:t>III- Informar que o primeiro relatório semestral, independentemente do período abarcado nos termos do item I, deverá ser publicado até 17 de setembro de 2026.</w:t>
      </w:r>
    </w:p>
    <w:p>
      <w:r>
        <w:t>IV- Fixar, até que sobrevenha regulamentação específica, que a partir do segundo relatório os períodos abrangidos coincidirão com os semestres civis regulares (1º de janeiro a 30 de junho, e 1º de julho a 31 de dezembro), devendo cada relatório ser publicado no sítio eletrônico do provedor até 1º de agosto, para o período referente ao primeiro semestre, e até 1º de fevereiro, para o período referente ao segundo semestre.</w:t>
      </w:r>
    </w:p>
    <w:p>
      <w:r>
        <w:t>V- Esclarecer que o relatório deverá conter, até que sobrevenha regulamentação específica, em documento único, no mínimo, as informações exigidas pelos incisos I a VII do art. 31 da Lei nº 15.211, de 2025, e pelos incisos I e II do art. 45 do Decreto nº 12.880, de 2026, a saber:</w:t>
      </w:r>
    </w:p>
    <w:p>
      <w:r>
        <w:t>a) os canais disponíveis para recebimento de denúncias e os sistemas processos de apuração;</w:t>
      </w:r>
    </w:p>
    <w:p>
      <w:r>
        <w:t>b) a quantidade de denúncias recebidas;</w:t>
      </w:r>
    </w:p>
    <w:p>
      <w:r>
        <w:t>c) a quantidade de moderação de conteúdo ou de contas, por tipo;</w:t>
      </w:r>
    </w:p>
    <w:p>
      <w:r>
        <w:t>d) as medidas adotadas para identificação de contas infantis em redes sociais, conforme o disposto no § 3º do art. 24, e de atos ilícitos, conforme o disposto no art. 27 da Lei;</w:t>
      </w:r>
    </w:p>
    <w:p>
      <w:r>
        <w:t>e) os aprimoramentos técnicos para a proteção de dados pessoais e da privacidade das crianças e dos adolescentes;</w:t>
      </w:r>
    </w:p>
    <w:p>
      <w:r>
        <w:t>f) os aprimoramentos técnicos para aferir consentimento parental, conforme o disposto no § 1º do art. 14 da Lei nº 13.709, de 2018 (LGPD); e</w:t>
      </w:r>
    </w:p>
    <w:p>
      <w:r>
        <w:t>g) o detalhamento dos métodos utilizados e a apresentação dos resultados das avaliações de impacto, identificação e gerenciamento de riscos à segurança e à saúde de crianças e de adolescentes;</w:t>
      </w:r>
    </w:p>
    <w:p>
      <w:r>
        <w:t>VI- Adicionalmente, o art. 45 do Decreto nº 12.880/2026 estabelece que, no que diz respeito à quantidade de denúncias recebidas (inciso II do Art. 31), o relatório deverá contemplar:</w:t>
      </w:r>
    </w:p>
    <w:p>
      <w:r>
        <w:t>a) a quantidade de notificações recebidas, conforme a categoria; e</w:t>
      </w:r>
    </w:p>
    <w:p>
      <w:r>
        <w:t>b) os dados proporcionais sobre o prosseguimento dado às notificações recebidas;</w:t>
      </w:r>
    </w:p>
    <w:p>
      <w:r>
        <w:t>VII- Registrar que estão dispensados de publicar relatórios semestrais, nos termos do art. 31 c/c o art. 39 da Lei nº 15.211, de 2025:</w:t>
      </w:r>
    </w:p>
    <w:p>
      <w:r>
        <w:t>a) os que provedores não atingirem 1.000.000 (um milhão) de usuários na faixa etária de crianças e adolescentes registrados, com conexão de internet território nacional; e</w:t>
      </w:r>
    </w:p>
    <w:p>
      <w:r>
        <w:t>b) os provedores de serviços com controle editorial e os provedores de conteúdos protegidos por direitos autorais previamente licenciados de agente econômico responsável que não se confunda com usuário final, desde que atendidas condições previstas as nos incisos I a IV do § 1º do art. 39;</w:t>
      </w:r>
    </w:p>
    <w:p>
      <w:r>
        <w:t>VIII- Recomendar que os agentes obrigados encaminhem cópia do relatório semestral, no ato de sua publicação, ao endereço eletrônico monitoramento@anpd.gov.br, sem prejuízo da publicação no sítio eletrônico do provedor exigida pelo art. 31.</w:t>
      </w:r>
    </w:p>
    <w:p>
      <w:r>
        <w:t>IX- Determinar a publicação deste Despacho Decisório no Diário Oficial da União e sítio eletrônico da ANPD, para ciência dos agentes regulados e da sociedade; e</w:t>
      </w:r>
    </w:p>
    <w:p>
      <w:r>
        <w:t>X- Determinar o encaminhamento dos autos à Superintendência de Fiscalização e à Superintendência de Regulação, para ciência e adoção das providências cabíveis no âmbito de suas competências.</w:t>
      </w:r>
    </w:p>
    <w:p>
      <w:r>
        <w:t>IAGÊ ZENDRON MIOLA</w:t>
      </w:r>
    </w:p>
    <w:p>
      <w:r>
        <w:t>Diretor</w:t>
      </w:r>
    </w:p>
    <w:p>
      <w:r>
        <w:t>LORENA GIUBERTI COUTINHO</w:t>
      </w:r>
    </w:p>
    <w:p>
      <w:r>
        <w:t>Diretora</w:t>
      </w:r>
    </w:p>
    <w:p>
      <w:r>
        <w:t>MIRIAM WIMMER</w:t>
      </w:r>
    </w:p>
    <w:p>
      <w:r>
        <w:t>Diretora</w:t>
      </w:r>
    </w:p>
    <w:p>
      <w:r>
        <w:t>WALDEMAR GONÇALVES ORTUNHO JÚNIOR</w:t>
      </w:r>
    </w:p>
    <w:p>
      <w:r>
        <w:t>Diretor-Presidente</w:t>
      </w:r>
    </w:p>
    <w:p>
      <w:r>
        <w:t>ANEXO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Relatório</w:t>
            </w:r>
          </w:p>
        </w:tc>
        <w:tc>
          <w:tcPr>
            <w:tcW w:type="dxa" w:w="2880"/>
          </w:tcPr>
          <w:p>
            <w:r>
              <w:t>Período abrangido</w:t>
            </w:r>
          </w:p>
        </w:tc>
        <w:tc>
          <w:tcPr>
            <w:tcW w:type="dxa" w:w="2880"/>
          </w:tcPr>
          <w:p>
            <w:r>
              <w:t>Data limite da publicação</w:t>
            </w:r>
          </w:p>
        </w:tc>
      </w:tr>
      <w:tr>
        <w:tc>
          <w:tcPr>
            <w:tcW w:type="dxa" w:w="2880"/>
          </w:tcPr>
          <w:p>
            <w:r>
              <w:t>1 º relatório</w:t>
            </w:r>
          </w:p>
        </w:tc>
        <w:tc>
          <w:tcPr>
            <w:tcW w:type="dxa" w:w="2880"/>
          </w:tcPr>
          <w:p>
            <w:r>
              <w:t>1º de janeiro a 30 de junho de 2026. Excepcionalmente, para os provedores que não disponham de informações relativas aos meses de janeiro e fevereiro de 2026, o período abrangido é de 17 de março a 30 de junho de 2026.</w:t>
            </w:r>
          </w:p>
        </w:tc>
        <w:tc>
          <w:tcPr>
            <w:tcW w:type="dxa" w:w="2880"/>
          </w:tcPr>
          <w:p>
            <w:r>
              <w:t>Até 17 de setembro de 2026.</w:t>
            </w:r>
          </w:p>
        </w:tc>
      </w:tr>
      <w:tr>
        <w:tc>
          <w:tcPr>
            <w:tcW w:type="dxa" w:w="2880"/>
          </w:tcPr>
          <w:p>
            <w:r>
              <w:t>2 º relatório em diante</w:t>
            </w:r>
          </w:p>
        </w:tc>
        <w:tc>
          <w:tcPr>
            <w:tcW w:type="dxa" w:w="2880"/>
          </w:tcPr>
          <w:p>
            <w:r>
              <w:t>Primeiro semestre: 1º de janeiro a 30 de junho Segundo semestre: 1º de julho a 31 de dezembro</w:t>
            </w:r>
          </w:p>
        </w:tc>
        <w:tc>
          <w:tcPr>
            <w:tcW w:type="dxa" w:w="2880"/>
          </w:tcPr>
          <w:p>
            <w:r>
              <w:t>Até 1º de agosto, para o período referente ao primeiro semestre, e até 1º de fevereiro, para o período referente ao segundo semestre.</w:t>
            </w:r>
          </w:p>
        </w:tc>
      </w:tr>
    </w:tbl>
    <w:p/>
    <w:p>
      <w:r>
        <w:t>Relatório</w:t>
      </w:r>
    </w:p>
    <w:p>
      <w:r>
        <w:t>Período abrangido</w:t>
      </w:r>
    </w:p>
    <w:p>
      <w:r>
        <w:t>Data limite da publicação</w:t>
      </w:r>
    </w:p>
    <w:p>
      <w:r>
        <w:t>1 º relatório</w:t>
      </w:r>
    </w:p>
    <w:p>
      <w:r>
        <w:t>1º de janeiro a 30 de junho de 2026. Excepcionalmente, para os provedores que não disponham de informações relativas aos meses de janeiro e fevereiro de 2026, o período abrangido é de 17 de março a 30 de junho de 2026.</w:t>
      </w:r>
    </w:p>
    <w:p>
      <w:r>
        <w:t>Até 17 de setembro de 2026.</w:t>
      </w:r>
    </w:p>
    <w:p>
      <w:r>
        <w:t>2 º relatório em diante</w:t>
      </w:r>
    </w:p>
    <w:p>
      <w:r>
        <w:t>Primeiro semestre: 1º de janeiro a 30 de junho Segundo semestre: 1º de julho a 31 de dezembro</w:t>
      </w:r>
    </w:p>
    <w:p>
      <w:r>
        <w:t>Até 1º de agosto, para o período referente ao primeiro semestre, e até 1º de fevereiro, para o período referente ao segundo semestre.</w:t>
      </w:r>
    </w:p>
    <w:p>
      <w:r>
        <w:br w:type="page"/>
      </w:r>
    </w:p>
    <w:p>
      <w:pPr>
        <w:pStyle w:val="Heading1"/>
      </w:pPr>
      <w:r>
        <w:t>2026-08-12</w:t>
      </w:r>
    </w:p>
    <w:p>
      <w:pPr>
        <w:pStyle w:val="Heading2"/>
      </w:pPr>
      <w:r>
        <w:t>PORTARIA CGAUT/SUSEP nº 126, de 11 de AGOSTO de 2026</w:t>
      </w:r>
    </w:p>
    <w:p>
      <w:r>
        <w:t>Categoria: Ministério da Fazenda/Superintendência de Seguros Privados/Diretoria de Organização de Mercado e Regulação de Conduta/Coordenação-Geral de Autorizações</w:t>
      </w:r>
    </w:p>
    <w:p>
      <w:r>
        <w:t>Página: 43</w:t>
      </w:r>
    </w:p>
    <w:p/>
    <w:p>
      <w:r>
        <w:t>PORTARIA CGAUT/SUSEP nº 126, de 11 de AGOSTO de 2026</w:t>
      </w:r>
    </w:p>
    <w:p>
      <w:r>
        <w:t>O COORDENADOR-GERAL DA COORDENAÇÃO-GERAL DE AUTORIZAÇÕES DA SUPERINTENDÊNCIA DE SEGUROS PRIVADOS - SUSEP,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15414.632111/2026-32, resolve:</w:t>
      </w:r>
    </w:p>
    <w:p>
      <w:r>
        <w:t>Art. 1º Fica homologada a eleição de administrador da HDI Seguros S.A., CNPJ n° 29.980.158/0001-5, com sede na Rua Doutor Geraldo Campos Moreira, nº 110, 12º andar, Conjuntos 121 e 122 - Cidade Monções, Cidade de São Paulo, Estado de São Paulo, CEP 04571-937, conforme deliberado na reunião do conselho de administração realizada em 29 de maio de 2026.</w:t>
      </w:r>
    </w:p>
    <w:p>
      <w:r>
        <w:t>Art. 2º Esta portaria entra em vigor na data de sua publicação.</w:t>
      </w:r>
    </w:p>
    <w:p>
      <w:r>
        <w:t>MAUREL ALEXIS WEICHERT</w:t>
      </w:r>
    </w:p>
    <w:p>
      <w:pPr>
        <w:pStyle w:val="Heading2"/>
      </w:pPr>
      <w:r>
        <w:t>PORTARIA CGAUT/SUSEP nº 127, de 11 de AGOSTO de 2026</w:t>
      </w:r>
    </w:p>
    <w:p>
      <w:r>
        <w:t>Categoria: Ministério da Fazenda/Superintendência de Seguros Privados/Diretoria de Organização de Mercado e Regulação de Conduta/Coordenação-Geral de Autorizações</w:t>
      </w:r>
    </w:p>
    <w:p>
      <w:r>
        <w:t>Página: 43</w:t>
      </w:r>
    </w:p>
    <w:p/>
    <w:p>
      <w:r>
        <w:t>PORTARIA CGAUT/SUSEP nº 127, de 11 de AGOSTO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 go 36 do Decreto-Lei nº 73, de 21 de novembro de 1966, com base nos incisos I e V do ar go 5º da Resolução CNSP nº 422, de 11 de novembro de 2021, e o que consta do processo Susep nº 15414.624241/2026-00 em conjunto com o processo SUSEP nº 15414.635006/2026-55, resolve:</w:t>
      </w:r>
    </w:p>
    <w:p>
      <w:r>
        <w:t>Art. 1º Ficam homologadas as seguintes deliberações tomadas pelo acionista único de SUL AMÉRICA SEGUROS DE PESSOAS E PREVIDÊNCIA S.A., CNPJ nº 01.704.513/0001-46, com sede na cidade do Rio de Janeiro - RJ, nas assembleias gerais ordinária e extraordinária realizadas cumulativamente em 31 de março de 2026 em conjunto com a assembélia geral extraordinária de 19 de junho de 2026:</w:t>
      </w:r>
    </w:p>
    <w:p>
      <w:r>
        <w:t>I - eleição de membros da diretoria e do comitê de auditoria;</w:t>
      </w:r>
    </w:p>
    <w:p>
      <w:r>
        <w:t>II - aumento de capital social em R$39.182.502,52, elevando-o para R$1.667.532.932,45, dividido 195.201.969 ações ordinárias nominativas, sem valor nominal;</w:t>
      </w:r>
    </w:p>
    <w:p>
      <w:r>
        <w:t>III- destituição de membro da Diretoria; e</w:t>
      </w:r>
    </w:p>
    <w:p>
      <w:r>
        <w:t>III - reforma e consolidação do estatuto social.</w:t>
      </w:r>
    </w:p>
    <w:p>
      <w:r>
        <w:t>Art. 2º Esta portaria entra em vigor na data de sua publicação.</w:t>
      </w:r>
    </w:p>
    <w:p>
      <w:r>
        <w:t>MAUREL ALEXIS WEICHERT</w:t>
      </w:r>
    </w:p>
    <w:p>
      <w:pPr>
        <w:pStyle w:val="Heading2"/>
      </w:pPr>
      <w:r>
        <w:t>PORTARIA CGAUT/SUSEP nº 128, de 11 de AGOSTO de 2026</w:t>
      </w:r>
    </w:p>
    <w:p>
      <w:r>
        <w:t>Categoria: Ministério da Fazenda/Superintendência de Seguros Privados/Diretoria de Organização de Mercado e Regulação de Conduta/Coordenação-Geral de Autorizações</w:t>
      </w:r>
    </w:p>
    <w:p>
      <w:r>
        <w:t>Página: 43</w:t>
      </w:r>
    </w:p>
    <w:p/>
    <w:p>
      <w:r>
        <w:t>PORTARIA CGAUT/SUSEP nº 128, de 11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15414.624226/2026-53, resolve:</w:t>
      </w:r>
    </w:p>
    <w:p>
      <w:r>
        <w:t>Art. 1º Fica homologada a eleição de administradores de KOVR SEGURADORA S.A, CNPJ nº 42.366.302/0001-28, com sede na cidade de São Paulo - SP, conforme deliberado na assembleia geral extraordinária realizada em 31 de março de 2026.</w:t>
      </w:r>
    </w:p>
    <w:p>
      <w:r>
        <w:t>Art. 2º Esta portaria entra em vigor na data de sua publicação.</w:t>
      </w:r>
    </w:p>
    <w:p>
      <w:r>
        <w:t>MAUREL ALEXIS WEICHERT</w:t>
      </w:r>
    </w:p>
    <w:p>
      <w:pPr>
        <w:pStyle w:val="Heading2"/>
      </w:pPr>
      <w:r>
        <w:t>PORTARIA CGAUT/SUSEP nº 129, de 11 de AGOSTO de 2026</w:t>
      </w:r>
    </w:p>
    <w:p>
      <w:r>
        <w:t>Categoria: Ministério da Fazenda/Superintendência de Seguros Privados/Diretoria de Organização de Mercado e Regulação de Conduta/Coordenação-Geral de Autorizações</w:t>
      </w:r>
    </w:p>
    <w:p>
      <w:r>
        <w:t>Página: 43</w:t>
      </w:r>
    </w:p>
    <w:p/>
    <w:p>
      <w:r>
        <w:t>PORTARIA CGAUT/SUSEP nº 129, de 11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15414.624229/2026-97, resolve:</w:t>
      </w:r>
    </w:p>
    <w:p>
      <w:r>
        <w:t>Art. 1º Fica homologada a eleição de administradores de KOVR PREVIDÊNCIA S.A., CNPJ nº 17.479.056/0001-73, com sede na cidade de São Paulo - SP, conforme deliberado na assembleia geral extraordinária realizada em 31 de março de 2026.</w:t>
      </w:r>
    </w:p>
    <w:p>
      <w:r>
        <w:t>Art. 2º Esta portaria entra em vigor na data de sua publicação.</w:t>
      </w:r>
    </w:p>
    <w:p>
      <w:r>
        <w:t>MAUREL ALEXIS WEICHERT</w:t>
      </w:r>
    </w:p>
    <w:p>
      <w:pPr>
        <w:pStyle w:val="Heading2"/>
      </w:pPr>
      <w:r>
        <w:t>PORTARIA CGAUT/SUSEP nº 130, de 11 de AGOSTO de 2026</w:t>
      </w:r>
    </w:p>
    <w:p>
      <w:r>
        <w:t>Categoria: Ministério da Fazenda/Superintendência de Seguros Privados/Diretoria de Organização de Mercado e Regulação de Conduta/Coordenação-Geral de Autorizações</w:t>
      </w:r>
    </w:p>
    <w:p>
      <w:r>
        <w:t>Página: 43</w:t>
      </w:r>
    </w:p>
    <w:p/>
    <w:p>
      <w:r>
        <w:t>PORTARIA CGAUT/SUSEP nº 130, de 11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combinado com o parágrafo 2º do artigo 3º do Decreto-Lei nº 261, de 28 de fevereiro de 1967, com base no inciso V do artigo 5º da Resolução CNSP nº 422, de 11 de novembro de 2021, e o que consta do processo Susep nº 15414.624237/2026-33, resolve:</w:t>
      </w:r>
    </w:p>
    <w:p>
      <w:r>
        <w:t>Art. 1º Fica homologada a eleição de administradores de KOVR CAPITALIZAÇÃO S.A., CNPJ nº 93.202.448/0001-79, com sede na cidade de São Paulo - SP, conforme deliberado na assembleia geral extraordinária realizada em 31 de março de 2026.</w:t>
      </w:r>
    </w:p>
    <w:p>
      <w:r>
        <w:t>Art. 2º Esta portaria entra em vigor na data de sua publicação.</w:t>
      </w:r>
    </w:p>
    <w:p>
      <w:r>
        <w:t>MAUREL ALEXIS WEICHERT</w:t>
      </w:r>
    </w:p>
    <w:p>
      <w:r>
        <w:br w:type="page"/>
      </w:r>
    </w:p>
    <w:p>
      <w:pPr>
        <w:pStyle w:val="Heading1"/>
      </w:pPr>
      <w:r>
        <w:t>2026-08-13</w:t>
      </w:r>
    </w:p>
    <w:p>
      <w:pPr>
        <w:pStyle w:val="Heading2"/>
      </w:pPr>
      <w:r>
        <w:t>PORTARIA CGAUT/SUSEP nº 131, de 11 de AGOSTO de 2026</w:t>
      </w:r>
    </w:p>
    <w:p>
      <w:r>
        <w:t>Categoria: Ministério da Fazenda/Superintendência de Seguros Privados/Diretoria de Organização de Mercado e Regulação de Conduta/Coordenação-Geral de Autorizações</w:t>
      </w:r>
    </w:p>
    <w:p>
      <w:r>
        <w:t>Página: 43</w:t>
      </w:r>
    </w:p>
    <w:p/>
    <w:p>
      <w:r>
        <w:t>PORTARIA CGAUT/SUSEP nº 131, de 11 de AGOSTO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artigo I do artigo 36 do Decreto-Lei nº 73, de 21 de novembro de 1966, com base no inciso I do artigo 5º da Resolução CNSP nº 422, de 11 de novembro de 2021, e o que consta do processo Susep nº 15414.662464/2025-86, resolve:</w:t>
      </w:r>
    </w:p>
    <w:p>
      <w:r>
        <w:t>Art. 1º Ficam homologadas as seguintes deliberações tomadas pelos acionistas de ZENPLA SEGUROS S.A., CNPJ nº 58.303.877/0001-31, com sede na cidade de Fortaleza - CE, nas assembleias gerais extraordinárias realizadas 29 de setembro de 2025 e 6 de maio de 2026:</w:t>
      </w:r>
    </w:p>
    <w:p>
      <w:r>
        <w:t>I - aumento do capital social em R$ 60.000,00, elevando-o para R$ 2.120.000,00, dividido em 2.162.281 ações ordinárias, nominativas e sem valor nominal; e</w:t>
      </w:r>
    </w:p>
    <w:p>
      <w:r>
        <w:t>II - reforma do estatuto social.</w:t>
      </w:r>
    </w:p>
    <w:p>
      <w:r>
        <w:t>Art. 2º Esta portaria entra em vigor na data de sua publicação.</w:t>
      </w:r>
    </w:p>
    <w:p>
      <w:r>
        <w:t>MAUREL ALEXIS WEICHERT</w:t>
      </w:r>
    </w:p>
    <w:p>
      <w:pPr>
        <w:pStyle w:val="Heading2"/>
      </w:pPr>
      <w:r>
        <w:t>PORTARIA CGAUT/SUSEP nº 132, de 11 de AGOSTO de 2026</w:t>
      </w:r>
    </w:p>
    <w:p>
      <w:r>
        <w:t>Categoria: Ministério da Fazenda/Superintendência de Seguros Privados/Diretoria de Organização de Mercado e Regulação de Conduta/Coordenação-Geral de Autorizações</w:t>
      </w:r>
    </w:p>
    <w:p>
      <w:r>
        <w:t>Página: 44</w:t>
      </w:r>
    </w:p>
    <w:p/>
    <w:p>
      <w:r>
        <w:t>PORTARIA CGAUT/SUSEP nº 132, de 11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15414.619662/2026-19, resolve:</w:t>
      </w:r>
    </w:p>
    <w:p>
      <w:r>
        <w:t>Art. 1º Fica homologada a eleição de administradores de SWISS RE CORPORATE SOLUTIONS BRASIL SEGUROS S.A., CNPJ nº 72.145.931/0001-99, com sede na cidade de São Paulo - SP, conforme deliberado na assembleia geral ordinária realizada em 30 de março de 2026.</w:t>
      </w:r>
    </w:p>
    <w:p>
      <w:r>
        <w:t>Art. 2º Esta portaria entra em vigor na data de sua publicação.</w:t>
      </w:r>
    </w:p>
    <w:p>
      <w:r>
        <w:t>MAUREL ALEXIS WEICHERT</w:t>
      </w:r>
    </w:p>
    <w:p>
      <w:pPr>
        <w:pStyle w:val="Heading2"/>
      </w:pPr>
      <w:r>
        <w:t>PORTARIA CGAUT/SUSEP nº 133, de 11 de AGOSTO de 2026</w:t>
      </w:r>
    </w:p>
    <w:p>
      <w:r>
        <w:t>Categoria: Ministério da Fazenda/Superintendência de Seguros Privados/Diretoria de Organização de Mercado e Regulação de Conduta/Coordenação-Geral de Autorizações</w:t>
      </w:r>
    </w:p>
    <w:p>
      <w:r>
        <w:t>Página: 44</w:t>
      </w:r>
    </w:p>
    <w:p/>
    <w:p>
      <w:r>
        <w:t>PORTARIA CGAUT/SUSEP nº 133, de 11 de AGOSTO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artigo 4º da Resolução CNSP nº 453, de 19 de dezembro de 2022, combinado com o inciso I do artigo 5º da Resolução CNSP nº 422, de 11 de novembro de 2021, e o que consta do processo Susep nº 15414.615749/2026-17, resolve:</w:t>
      </w:r>
    </w:p>
    <w:p>
      <w:r>
        <w:t>Art. 1º Ficam homologadas as seguintes deliberações tomadas pelo acionista único de GALAPAGOS CAPITAL SOCIEDADE SEGURADORA DE PROPÓSITO ESPECÍFICO S.A., CNPJ nº 52.477.097/0001-21, com sede na cidade do São Paulo - SP, na assembleia geral extraordinária realizada em 27 de fevereiro de 2026:</w:t>
      </w:r>
    </w:p>
    <w:p>
      <w:r>
        <w:t>I - aumento do capital social em R$600.000,00, elevando-o para R$3.900.000,00, dividido em 3.981.395 ações ordinárias, nominativas e sem valor nominal; e</w:t>
      </w:r>
    </w:p>
    <w:p>
      <w:r>
        <w:t>II - reforma e consolidação do estatuto social.</w:t>
      </w:r>
    </w:p>
    <w:p>
      <w:r>
        <w:t>Art. 2º Esta portaria entra em vigor na data de sua publicação.</w:t>
      </w:r>
    </w:p>
    <w:p>
      <w:r>
        <w:t>MAUREL ALEXIS WEICHERT</w:t>
      </w:r>
    </w:p>
    <w:p>
      <w:pPr>
        <w:pStyle w:val="Heading2"/>
      </w:pPr>
      <w:r>
        <w:t>PORTARIA CGAUT/SUSEP nº 134, de 11 de AGOSTO de 2026</w:t>
      </w:r>
    </w:p>
    <w:p>
      <w:r>
        <w:t>Categoria: Ministério da Fazenda/Superintendência de Seguros Privados/Diretoria de Organização de Mercado e Regulação de Conduta/Coordenação-Geral de Autorizações</w:t>
      </w:r>
    </w:p>
    <w:p>
      <w:r>
        <w:t>Página: 44</w:t>
      </w:r>
    </w:p>
    <w:p/>
    <w:p>
      <w:r>
        <w:t>PORTARIA CGAUT/SUSEP nº 134, de 11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15414.622964/2026-66, resolve:</w:t>
      </w:r>
    </w:p>
    <w:p>
      <w:r>
        <w:t>Art. 1º Fica homologada a eleição de administrador da SEGURADORA ALM S.A., CNPJ n° 23.694.731/0001-80, localizada na cidade do Rio de Janeiro, Estado do Rio de Janeiro, na Avenida Nossa Senhora de Copacabana, 690, Sala 1201, Copacabana, CEP 22050-001, conforme deliberado na Assembleia Geral Ordinária em 30 de março de 2026.</w:t>
      </w:r>
    </w:p>
    <w:p>
      <w:r>
        <w:t>Art. 2º Esta portaria entra em vigor na data de sua publicação.</w:t>
      </w:r>
    </w:p>
    <w:p>
      <w:r>
        <w:t>MAUREL ALEXIS WEICHERT</w:t>
      </w:r>
    </w:p>
    <w:p>
      <w:pPr>
        <w:pStyle w:val="Heading2"/>
      </w:pPr>
      <w:r>
        <w:t>PORTARIA CGAUT/SUSEP nº 135,  de 11 de AGOSTO de 2026</w:t>
      </w:r>
    </w:p>
    <w:p>
      <w:r>
        <w:t>Categoria: Ministério da Fazenda/Superintendência de Seguros Privados/Diretoria de Organização de Mercado e Regulação de Conduta/Coordenação-Geral de Autorizações</w:t>
      </w:r>
    </w:p>
    <w:p>
      <w:r>
        <w:t>Página: 44</w:t>
      </w:r>
    </w:p>
    <w:p/>
    <w:p>
      <w:r>
        <w:t>PORTARIA CGAUT/SUSEP nº 135, de 11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artigo I do artigo 36 do Decreto-Lei nº 73, de 21 de novembro de 1966, com base no inciso V do artigo 5º da Resolução CNSP nº 422, de 11 de novembro de 2021, e o que consta do processo Susep nº 15414.636131/2026-82, resolve:</w:t>
      </w:r>
    </w:p>
    <w:p>
      <w:r>
        <w:t>Art. 1º Fica homologada a eleição de membro do comitê de auditoria de AIG SEGUROS BRASIL S.A., CNPJ nº 33.040.981/0001-50, com sede na cidade de São Paulo - SP, conforme deliberado na assembleia geral extraordinária realizada 8 de junho de 2026.</w:t>
      </w:r>
    </w:p>
    <w:p>
      <w:r>
        <w:t>Art. 2º Esta portaria entra em vigor na data de sua publicação.</w:t>
      </w:r>
    </w:p>
    <w:p>
      <w:r>
        <w:t>MAUREL ALEXIS WEICHERT</w:t>
      </w:r>
    </w:p>
    <w:p>
      <w:pPr>
        <w:pStyle w:val="Heading2"/>
      </w:pPr>
      <w:r>
        <w:t>PORTARIA CGAUT/SUSEP nº 136,  de 12 de AGOSTO de 2026</w:t>
      </w:r>
    </w:p>
    <w:p>
      <w:r>
        <w:t>Categoria: Ministério da Fazenda/Superintendência de Seguros Privados/Diretoria de Organização de Mercado e Regulação de Conduta/Coordenação-Geral de Autorizações</w:t>
      </w:r>
    </w:p>
    <w:p>
      <w:r>
        <w:t>Página: 44</w:t>
      </w:r>
    </w:p>
    <w:p/>
    <w:p>
      <w:r>
        <w:t>PORTARIA CGAUT/SUSEP nº 136, de 12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15414.610866/2026-86, resolve:</w:t>
      </w:r>
    </w:p>
    <w:p>
      <w:r>
        <w:t>Art. 1º Fica homologada a eleição de administrador de ICATU CAPITALIZAÇÃO S.A., CNPJ nº 74.267.170/0001-73, com sede na cidade do Rio de Janeiro - RJ, conforme deliberado na assembleia geral extraordinária realizada em 02 de fevereiro de 2026.</w:t>
      </w:r>
    </w:p>
    <w:p>
      <w:r>
        <w:t>Art. 2º Esta portaria entra em vigor na data de sua publicação.</w:t>
      </w:r>
    </w:p>
    <w:p>
      <w:r>
        <w:t>MAUREL ALEXIS WEICHERT</w:t>
      </w:r>
    </w:p>
    <w:p>
      <w:r>
        <w:br w:type="page"/>
      </w:r>
    </w:p>
    <w:p>
      <w:pPr>
        <w:pStyle w:val="Heading1"/>
      </w:pPr>
      <w:r>
        <w:t>2026-08-14</w:t>
      </w:r>
    </w:p>
    <w:p>
      <w:pPr>
        <w:pStyle w:val="Heading2"/>
      </w:pPr>
      <w:r>
        <w:t>INSTRUÇÃO NORMATIVA BCB Nº 768, DE 13 DE AGOSTO DE 2026</w:t>
      </w:r>
    </w:p>
    <w:p>
      <w:pPr>
        <w:pStyle w:val="ListBullet"/>
      </w:pPr>
      <w:r>
        <w:t>Ementa: Altera a Instrução Normativa BCB nº 715, de 6 de março de 2026, a Instrução Normativa BCB nº 555, de 2 de dezembro de 2024, e a Instrução Normativa BCB nº 557, de 2 de dezembro de 2024, para divulgar esclarecimentos acerca da dedução da exigibilidade de recolhimento compulsório sobre recursos à vista e sobre recursos a prazo, de que trata a Resolução BCB nº 551, de 3 de março de 2026.</w:t>
      </w:r>
    </w:p>
    <w:p>
      <w:r>
        <w:t>Categoria: Banco Central do Brasil/Área de Política Monetária/Departamento de Operações Bancárias e de Sistema de Pagamentos</w:t>
      </w:r>
    </w:p>
    <w:p>
      <w:r>
        <w:t>Página: 136</w:t>
      </w:r>
    </w:p>
    <w:p/>
    <w:p>
      <w:r>
        <w:t>INSTRUÇÃO NORMATIVA BCB Nº 768, DE 13 DE AGOSTO DE 2026</w:t>
      </w:r>
    </w:p>
    <w:p>
      <w:r>
        <w:t>Altera a Instrução Normativa BCB nº 715, de 6 de março de 2026, a Instrução Normativa BCB nº 555, de 2 de dezembro de 2024, e a Instrução Normativa BCB nº 557, de 2 de dezembro de 2024, para divulgar esclarecimentos acerca da dedução da exigibilidade de recolhimento compulsório sobre recursos à vista e sobre recursos a prazo, de que trata a Resolução BCB nº 551, de 3 de março de 2026.</w:t>
      </w:r>
    </w:p>
    <w:p>
      <w:r>
        <w:t>O CHEFE DO DEPARTAMENTO DE OPERAÇÕES BANCÁRIAS E DE SISTEMA DE PAGAMENTOS - Deban, no uso da atribuição que lhe confere o art. 23, inciso I, alínea "a", do Regimento Interno do Banco Central do Brasil, anexo à Resolução BCB nº 340, de 21 de setembro de 2023, e tendo em conta o disposto na Resolução BCB nº 551, de 3 de março de 2026, resolve:</w:t>
      </w:r>
    </w:p>
    <w:p>
      <w:r>
        <w:t>Art. 1º A Instrução Normativa BCB nº 715, de 6 de março de 2026, publicada no Diário Oficial da União de 10 de março de 2026, passa a vigorar com as seguintes alterações:</w:t>
      </w:r>
    </w:p>
    <w:p>
      <w:r>
        <w:t>"Art. 2º O valor relativo à antecipação das contribuições ordinárias ao FGC, passível de dedução conforme a Resolução BCB nº 551, de 3 de março de 2026, poderá ser dividido em parcelas, no caso da antecipação realizada até maio de 2026, e deverá ser integralizado em parcelas únicas nas antecipações referentes a 2027 e a 2028.</w:t>
      </w:r>
    </w:p>
    <w:p>
      <w:r>
        <w:t>........................................................................................................................." (NR)</w:t>
      </w:r>
    </w:p>
    <w:p>
      <w:r>
        <w:t>"Art. 3º .................................................................................................................</w:t>
      </w:r>
    </w:p>
    <w:p>
      <w:r>
        <w:t>I - ..........................................................................................................................</w:t>
      </w:r>
    </w:p>
    <w:p>
      <w:r>
        <w:t>...............................................................................................................................</w:t>
      </w:r>
    </w:p>
    <w:p>
      <w:r>
        <w:t>b) CodItem "1042 - Componente da parcela da antecipação obrigatória ao FGC referente a 27/04/2026 a ser deduzida em compulsório sobre recursos à vista";</w:t>
      </w:r>
    </w:p>
    <w:p>
      <w:r>
        <w:t>................................................................................................................................</w:t>
      </w:r>
    </w:p>
    <w:p>
      <w:r>
        <w:t>d) CodItem "1044 - Componente da parcela da antecipação obrigatória ao FGC referente a 25/03/2027 a ser deduzida em compulsório sobre recursos à vista"; e</w:t>
      </w:r>
    </w:p>
    <w:p>
      <w:r>
        <w:t>e) CodItem "1045 - Componente da parcela da antecipação obrigatória ao FGC referente a 27/03/2028 a ser deduzida em compulsório sobre recursos à vista";</w:t>
      </w:r>
    </w:p>
    <w:p>
      <w:r>
        <w:t>II - .........................................................................................................................</w:t>
      </w:r>
    </w:p>
    <w:p>
      <w:r>
        <w:t>...............................................................................................................................</w:t>
      </w:r>
    </w:p>
    <w:p>
      <w:r>
        <w:t>b) CodItem "9042 - Componente da parcela da antecipação obrigatória ao FGC referente a 27/04/2026 a ser deduzida em compulsório sobre recursos a prazo";</w:t>
      </w:r>
    </w:p>
    <w:p>
      <w:r>
        <w:t>c) CodItem "9043 - Componente da parcela da antecipação obrigatória ao FGC referente a 25/05/2026 a ser deduzida em compulsório sobre recursos a prazo";</w:t>
      </w:r>
    </w:p>
    <w:p>
      <w:r>
        <w:t>d) CodItem "9044 - Componente da parcela da antecipação obrigatória ao FGC referente a 25/03/2027 a ser deduzida em compulsório sobre recursos a prazo"; e</w:t>
      </w:r>
    </w:p>
    <w:p>
      <w:r>
        <w:t>e) CodItem "9045 - Componente da parcela da antecipação obrigatória ao FGC referente a 27/03/2028 a ser deduzida em compulsório sobre recursos a prazo".</w:t>
      </w:r>
    </w:p>
    <w:p>
      <w:r>
        <w:t>........................................................................................................................"(NR)</w:t>
      </w:r>
    </w:p>
    <w:p>
      <w:r>
        <w:t>"Art. 4º ................................................................................................................</w:t>
      </w:r>
    </w:p>
    <w:p>
      <w:r>
        <w:t>..............................................................................................................................</w:t>
      </w:r>
    </w:p>
    <w:p>
      <w:r>
        <w:t>III - .......................................................................................................................</w:t>
      </w:r>
    </w:p>
    <w:p>
      <w:r>
        <w:t>..............................................................................................................................</w:t>
      </w:r>
    </w:p>
    <w:p>
      <w:r>
        <w:t>b) compulsório sobre recursos a prazo - CodItem 9043: do período de cálculo com início em 25/5/2026 até o período com término em 26/6/2026;</w:t>
      </w:r>
    </w:p>
    <w:p>
      <w:r>
        <w:t>IV - Antecipação referente a 25/3/2027:</w:t>
      </w:r>
    </w:p>
    <w:p>
      <w:r>
        <w:t>a) compulsório sobre recursos à vista - CodItem 1044:</w:t>
      </w:r>
    </w:p>
    <w:p>
      <w:r>
        <w:t>1. Grupo "A": do período de cálculo com início em 22/3/2027 até o período com término em 20/6/2031; e</w:t>
      </w:r>
    </w:p>
    <w:p>
      <w:r>
        <w:t>2. Grupo "B": do período de cálculo com início em 15/3/2027 até o período com término em 27/6/2031;</w:t>
      </w:r>
    </w:p>
    <w:p>
      <w:r>
        <w:t>b) compulsório sobre recursos a prazo - CodItem 9044: do período de cálculo com início em 22/3/2027 até o período com término em 27/6/2031;</w:t>
      </w:r>
    </w:p>
    <w:p>
      <w:r>
        <w:t>V - Antecipação referente a 27/3/2028:</w:t>
      </w:r>
    </w:p>
    <w:p>
      <w:r>
        <w:t>a) compulsório sobre recursos à vista - CodItem 1045:</w:t>
      </w:r>
    </w:p>
    <w:p>
      <w:r>
        <w:t>1. Grupo "A": do período de cálculo com início em 20/3/2028 até o período com término em 18/6/2032; e</w:t>
      </w:r>
    </w:p>
    <w:p>
      <w:r>
        <w:t>2. Grupo "B": do período de cálculo com início em 27/3/2028 até o período com término em 25/6/2032;</w:t>
      </w:r>
    </w:p>
    <w:p>
      <w:r>
        <w:t>b) compulsório sobre recursos a prazo - CodItem 9045: do período de cálculo com início em 27/3/2028 até o período com término em 25/6/2032." (NR)</w:t>
      </w:r>
    </w:p>
    <w:p>
      <w:r>
        <w:t>"Art. 5º A partir do período de cálculo imediatamente subsequente ao último período de cálculo previsto no art. 4º para o respectivo CodItem, o valor originalmente informado deverá ser reduzido:</w:t>
      </w:r>
    </w:p>
    <w:p>
      <w:r>
        <w:t>I - em 1/60 (um sessenta avos), no caso das parcelas de antecipação de que trata o art. 1º, § 1º, da Resolução BCB nº 551, de 3 de março de 2026; e</w:t>
      </w:r>
    </w:p>
    <w:p>
      <w:r>
        <w:t>II - em 1/12 (um doze avos), no caso das parcelas de antecipação de que trata o art. 1º, § 2º, da Resolução BCB nº 551, de 3 de março de 2026.</w:t>
      </w:r>
    </w:p>
    <w:p>
      <w:r>
        <w:t>§ 1º A partir do primeiro período de cálculo que contenha o primeiro dia útil de cada mês subsequente, a redução de que trata o inciso I do caput será acrescida, cumulativamente, de 1/60 (um sessenta avos) do valor originalmente informado.</w:t>
      </w:r>
    </w:p>
    <w:p>
      <w:r>
        <w:t>§ 2º A partir do primeiro período de cálculo que contenha o primeiro dia útil de cada mês subsequente, a redução de que trata o inciso II do caput será acrescida, cumulativamente, de 1/12 (um doze avos) do valor originalmente informado.</w:t>
      </w:r>
    </w:p>
    <w:p>
      <w:r>
        <w:t>§ 3º As reduções previstas neste artigo terão como base de cálculo o valor originalmente informado para o respectivo CodItem.</w:t>
      </w:r>
    </w:p>
    <w:p>
      <w:r>
        <w:t>§ 4º A partir do primeiro período de cálculo em que o valor de um CodItem relativo a uma parcela de antecipação ao FGC for reduzido a zero, esse CodItem não deverá ser informado ao Banco Central do Brasil." (NR)</w:t>
      </w:r>
    </w:p>
    <w:p>
      <w:r>
        <w:t>"Art. 6º A soma dos valores dos CodItens de que trata o art. 4º deve corresponder:</w:t>
      </w:r>
    </w:p>
    <w:p>
      <w:r>
        <w:t>I - em relação ao art. 4º, caput, inciso I:</w:t>
      </w:r>
    </w:p>
    <w:p>
      <w:r>
        <w:t>a) ao valor total da primeira parcela da antecipação obrigatória ao FGC, no caso de antecipação em três parcelas; ou</w:t>
      </w:r>
    </w:p>
    <w:p>
      <w:r>
        <w:t>b) ao valor total da antecipação obrigatória ao FGC, no caso de antecipação em parcela única;</w:t>
      </w:r>
    </w:p>
    <w:p>
      <w:r>
        <w:t>II - em relação ao art. 4º, caput, inciso II, ao valor total da segunda parcela da antecipação obrigatória ao FGC;</w:t>
      </w:r>
    </w:p>
    <w:p>
      <w:r>
        <w:t>III - em relação ao art. 4º, caput, inciso III, ao valor total da terceira parcela da antecipação obrigatória ao FGC;</w:t>
      </w:r>
    </w:p>
    <w:p>
      <w:r>
        <w:t>IV - em relação ao art. 4º, caput, inciso IV, ao valor total da primeira parcela adicional de antecipação obrigatória ao FGC; e</w:t>
      </w:r>
    </w:p>
    <w:p>
      <w:r>
        <w:t>V - em relação ao art. 4º, caput, inciso V, ao valor total da segunda parcela adicional de antecipação obrigatória ao FGC." (NR)</w:t>
      </w:r>
    </w:p>
    <w:p>
      <w:r>
        <w:t>Art. 2º A Instrução Normativa BCB n° 555, de 2 de dezembro de 2024, publicada no Diário Oficial da União de 4 de dezembro de 2024 e retificada no Diário Oficial da União de 5 de dezembro de 2024, passa a vigorar com as seguintes alterações:</w:t>
      </w:r>
    </w:p>
    <w:p>
      <w:r>
        <w:t>"Art. 4º A exigibilidade de recolhimento compulsório sobre recursos à vista corresponderá ao resultado do cálculo abaixo:</w:t>
      </w:r>
    </w:p>
    <w:p>
      <w:r>
        <w:t>...............................................................................................................................</w:t>
      </w:r>
    </w:p>
    <w:p>
      <w:r>
        <w:t>VI - D = dedução da base de cálculo estabelecida no art. 4º, caput, da Resolução BCB nº 189, de 23 de fevereiro de 2022;</w:t>
      </w:r>
    </w:p>
    <w:p>
      <w:r>
        <w:t>VII - A = alíquota incidente sobre a base de cálculo, estabelecida no art. 5º da Resolução BCB nº 189, de 23 de fevereiro de 2022; e</w:t>
      </w:r>
    </w:p>
    <w:p>
      <w:r>
        <w:t>VIII - DeducFGC = dedução associada à antecipação ao Fundo Garantidor de Créditos - FGC, conforme estabelecido na Resolução BCB nº 551, de 3 de março de 2026." (NR)</w:t>
      </w:r>
    </w:p>
    <w:p>
      <w:r>
        <w:t>Art. 3º A Instrução Normativa BCB n° 557, de 2 de dezembro de 2024, publicada no Diário Oficial da União de 4 de dezembro de 2024, passa a vigorar com as seguintes alterações:</w:t>
      </w:r>
    </w:p>
    <w:p>
      <w:r>
        <w:t>"Art. 4º Os cálculos das deduções de exigibilidade estabelecidas nos arts. 6º e 7º da Resolução BCB nº 145, de 24 de setembro de 2021, e consequentemente da exigibilidade a recolher, serão realizados conforme segue:</w:t>
      </w:r>
    </w:p>
    <w:p>
      <w:r>
        <w:t>Exigibilidade a Recolher = Pré-Exigível - DeducLFL - DeducPR1 - DeducFGC, em que:</w:t>
      </w:r>
    </w:p>
    <w:p>
      <w:r>
        <w:t>...............................................................................................................................</w:t>
      </w:r>
    </w:p>
    <w:p>
      <w:r>
        <w:t>II - DeducLFL = dedução associada à média no período de cálculo do Limite Financeiro Total para as operações da Linha de Liquidez a Termo - LT.LLT na abertura diária do sistema das Linhas Financeiras de Liquidez - LFL, estabelecida no art. 6º da Resolução BCB nº 145, de 24 de setembro de 2021;</w:t>
      </w:r>
    </w:p>
    <w:p>
      <w:r>
        <w:t>III - DeducPR1 = dedução estabelecida no art. 7º da Resolução BCB nº 145, de 24 de setembro de 2021; e</w:t>
      </w:r>
    </w:p>
    <w:p>
      <w:r>
        <w:t>IV - DeducFGC = dedução associada à antecipação ao Fundo Garantidor de Créditos - FGC, conforme estabelecido na Resolução BCB nº 551, de 3 de março de 2026.</w:t>
      </w:r>
    </w:p>
    <w:p>
      <w:r>
        <w:t>......................................................................................................................." (NR)</w:t>
      </w:r>
    </w:p>
    <w:p>
      <w:r>
        <w:t>Art. 4º Fica revogado o parágrafo único do art. 5º da Instrução Normativa BCB nº 715, de 6 de março de 2026, publicada no Diário Oficial da União de 10 de março de 2026.</w:t>
      </w:r>
    </w:p>
    <w:p>
      <w:r>
        <w:t>Art. 5º Esta Instrução Normativa entra em vigor na data de sua publicação.</w:t>
      </w:r>
    </w:p>
    <w:p>
      <w:r>
        <w:t>FABIO MARTINS TRAJANO DE ARRUDA</w:t>
      </w:r>
    </w:p>
    <w:p>
      <w:pPr>
        <w:pStyle w:val="Heading2"/>
      </w:pPr>
      <w:r>
        <w:t>PORTARIA CGAUT/SUSEP nº 137, de 13 de AGOSTO de 2026</w:t>
      </w:r>
    </w:p>
    <w:p>
      <w:r>
        <w:t>Categoria: Ministério da Fazenda/Superintendência de Seguros Privados/Diretoria de Organização de Mercado e Regulação de Conduta/Coordenação-Geral de Autorizações</w:t>
      </w:r>
    </w:p>
    <w:p>
      <w:r>
        <w:t>Página: 44</w:t>
      </w:r>
    </w:p>
    <w:p/>
    <w:p>
      <w:r>
        <w:t>PORTARIA CGAUT/SUSEP nº 137, de 13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15414.609339/2026-29, resolve:</w:t>
      </w:r>
    </w:p>
    <w:p>
      <w:r>
        <w:t>Art. 1º Fica homologada a eleição de administrador de ICATU SEGUROS S.A., CNPJ nº 42.283.770/0001-39, com sede na cidade do Rio de Janeiro - RJ, conforme deliberado na assembleia geral extraordinária realizada em 02 de fevereiro de 2026.</w:t>
      </w:r>
    </w:p>
    <w:p>
      <w:r>
        <w:t>Art. 2º Esta portaria entra em vigor na data de sua publicação.</w:t>
      </w:r>
    </w:p>
    <w:p>
      <w:r>
        <w:t>MAUREL ALEXIS WEICHERT</w:t>
      </w:r>
    </w:p>
    <w:p>
      <w:pPr>
        <w:pStyle w:val="Heading2"/>
      </w:pPr>
      <w:r>
        <w:t>PORTARIA CGAUT/SUSEP nº 138, de 13 de AGOSTO de 2026</w:t>
      </w:r>
    </w:p>
    <w:p>
      <w:r>
        <w:t>Categoria: Ministério da Fazenda/Superintendência de Seguros Privados/Diretoria de Organização de Mercado e Regulação de Conduta/Coordenação-Geral de Autorizações</w:t>
      </w:r>
    </w:p>
    <w:p>
      <w:r>
        <w:t>Página: 44</w:t>
      </w:r>
    </w:p>
    <w:p/>
    <w:p>
      <w:r>
        <w:t>PORTARIA CGAUT/SUSEP nº 138, de 13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15414.624112/2026-11, resolve:</w:t>
      </w:r>
    </w:p>
    <w:p>
      <w:r>
        <w:t>Art. 1º Fica homologada a reeleição de administradores e a redistribuição das funções regulatórias da BRASILSEG COMPANHIA DE SEGUROS, CNPJ nº 28.196.889/0001-43, com sede na cidade de São Paulo - SP, conforme deliberado na Assembleia Geral Ordinária realizada em 31 de março de 2026.</w:t>
      </w:r>
    </w:p>
    <w:p>
      <w:r>
        <w:t>Art. 2º Esta portaria entra em vigor na data de sua publicação.</w:t>
      </w:r>
    </w:p>
    <w:p>
      <w:r>
        <w:t>MAUREL ALEXIS WEICHERT</w:t>
      </w:r>
    </w:p>
    <w:p>
      <w:pPr>
        <w:pStyle w:val="Heading2"/>
      </w:pPr>
      <w:r>
        <w:t>PORTARIA CGAUT/SUSEP nº 139, de 13 de AGOSTO de 2026</w:t>
      </w:r>
    </w:p>
    <w:p>
      <w:r>
        <w:t>Categoria: Ministério da Fazenda/Superintendência de Seguros Privados/Diretoria de Organização de Mercado e Regulação de Conduta/Coordenação-Geral de Autorizações</w:t>
      </w:r>
    </w:p>
    <w:p>
      <w:r>
        <w:t>Página: 44</w:t>
      </w:r>
    </w:p>
    <w:p/>
    <w:p>
      <w:r>
        <w:t>PORTARIA CGAUT/SUSEP nº 139, de 13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 go 36 do Decreto-Lei nº 73, de 21 de novembro de 1966, com base no inciso V do ar go 5º da Resolução CNSP nº 422, de 11 de novembro de 2021, e o que consta do processo Susep nº 15414.624224/2026-64, resolve:</w:t>
      </w:r>
    </w:p>
    <w:p>
      <w:r>
        <w:t>Art. 1º Ficam homologadas as seguintes deliberações tomadas pelos membros do conselho de administração de CARDIF DO BRASIL VIDA E PREVIDÊNCIA S.A., CNPJ nº 03.546.261/0001-08, com sede na cidade de São Paulo - SP, na reunião do conselho de administração realizada em 8 de abril de 2026:</w:t>
      </w:r>
    </w:p>
    <w:p>
      <w:r>
        <w:t>I - A destituição de membro do comitê de auditoria e de riscos; e</w:t>
      </w:r>
    </w:p>
    <w:p>
      <w:r>
        <w:t>II - A eleição de membros do comitê de auditoria e de riscos.</w:t>
      </w:r>
    </w:p>
    <w:p>
      <w:r>
        <w:t>Art. 2º Esta portaria entra em vigor na data de sua publicação.</w:t>
      </w:r>
    </w:p>
    <w:p>
      <w:r>
        <w:t>MAUREL ALEXIS WEICHERT</w:t>
      </w:r>
    </w:p>
    <w:p>
      <w:pPr>
        <w:pStyle w:val="Heading2"/>
      </w:pPr>
      <w:r>
        <w:t>PORTARIA CGAUT/SUSEP nº 140, de 13 de AGOSTO de 2026</w:t>
      </w:r>
    </w:p>
    <w:p>
      <w:r>
        <w:t>Categoria: Ministério da Fazenda/Superintendência de Seguros Privados/Diretoria de Organização de Mercado e Regulação de Conduta/Coordenação-Geral de Autorizações</w:t>
      </w:r>
    </w:p>
    <w:p>
      <w:r>
        <w:t>Página: 44</w:t>
      </w:r>
    </w:p>
    <w:p/>
    <w:p>
      <w:r>
        <w:t>PORTARIA CGAUT/SUSEP nº 140, de 13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 go 36 do Decreto-Lei nº 73, de 21 de novembro de 1966, com base no inciso V do ar go 5º da Resolução CNSP nº 422, de 11 de novembro de 2021, e o que consta do processo Susep nº 15414.675525/2025-75, resolve:</w:t>
      </w:r>
    </w:p>
    <w:p>
      <w:r>
        <w:t>Art. 1º Fica homologada a eleição de administrador de BRADESCO SEGUROS S.A., CNPJ nº 33.055.146/0001-93, com sede na cidade de São Paulo - SP, conforme deliberado na assembleia geral extraordinária realizada em 1º de dezembro de 2025 e na assembleia geral ordinária e extraordinária realizadas cumulativamente em 30 de março de 2026.</w:t>
      </w:r>
    </w:p>
    <w:p>
      <w:r>
        <w:t>Art. 2º Esta portaria entra em vigor na data de sua publicação.</w:t>
      </w:r>
    </w:p>
    <w:p>
      <w:r>
        <w:t>MAUREL ALEXIS WEICHERT</w:t>
      </w:r>
    </w:p>
    <w:p>
      <w:pPr>
        <w:pStyle w:val="Heading2"/>
      </w:pPr>
      <w:r>
        <w:t>PARECER DE ORIENTAÇÃO Nº 10/2026/SUSEP</w:t>
      </w:r>
    </w:p>
    <w:p>
      <w:pPr>
        <w:pStyle w:val="ListBullet"/>
      </w:pPr>
      <w:r>
        <w:t>Ementa: Contrato de prestação de serviços contínuos com regime de dedicação exclusiva de mão de obra. termo aditivo. redução de jornada de 44 horas para 40 horas semanais. inclusão do benefício de reembolso-creche. aplicação aos contratos regidos pela lei nº 14.133, de 2021, e pela lei nº 8.666, de 1993.</w:t>
      </w:r>
    </w:p>
    <w:p>
      <w:r>
        <w:t>Categoria: Ministério da Fazenda/Superintendência de Seguros Privados</w:t>
      </w:r>
    </w:p>
    <w:p>
      <w:r>
        <w:t>Página: 40</w:t>
      </w:r>
    </w:p>
    <w:p/>
    <w:p>
      <w:r>
        <w:t>Conselho Diretor</w:t>
      </w:r>
    </w:p>
    <w:p>
      <w:r>
        <w:t>PARECER DE ORIENTAÇÃO Nº 10/2026/SUSEP</w:t>
      </w:r>
    </w:p>
    <w:p>
      <w:r>
        <w:t>Contrato de prestação de serviços contínuos com regime de dedicação exclusiva de mão de obra. termo aditivo. redução de jornada de 44 horas para 40 horas semanais. inclusão do benefício de reembolso-creche. aplicação aos contratos regidos pela lei nº 14.133, de 2021, e pela lei nº 8.666, de 1993.</w:t>
      </w:r>
    </w:p>
    <w:p>
      <w:r>
        <w:t>O Conselho Diretor da Superintendência de Seguros Privados - Susep, em reunião ordinária eletrônica realizada em 15 de julho de 2025, resolveu adotar o PARECER REFERENCIAL Nº. 00001/2026/GERTEC/ELIC/PGF/AGU, em anexo, como Parecer de Orientação para utilização pela Susep no âmbito dos contratos e licitações.</w:t>
      </w:r>
    </w:p>
    <w:p>
      <w:r>
        <w:t>ALESSANDRO SERAFIN OCTAVIANI</w:t>
      </w:r>
    </w:p>
    <w:p>
      <w:r>
        <w:t>Presidente do Conselho</w:t>
      </w:r>
    </w:p>
    <w:p>
      <w:r>
        <w:t>ANEXO</w:t>
      </w:r>
    </w:p>
    <w:p>
      <w:r>
        <w:t>PARECER REFERENCIAL Nº. 00001/2026/GERTEC/ELIC/PGF/AGU</w:t>
      </w:r>
    </w:p>
    <w:p>
      <w:r>
        <w:t>NUP: 00407.059564/2025-42</w:t>
      </w:r>
    </w:p>
    <w:p>
      <w:r>
        <w:t>INTERESSADOS: EQUIPE DE LICITAÇÃO E CONTRATO - ELIC</w:t>
      </w:r>
    </w:p>
    <w:p>
      <w:r>
        <w:t>ASSUNTOS: LICITAÇÕES</w:t>
      </w:r>
    </w:p>
    <w:p>
      <w:r>
        <w:t>EMENTA: CONTRATO DE PRESTAÇÃO DE SERVIÇOS CONTÍNUOS COM REGIME DE DEDICAÇÃO EXCLUSIVA DE MÃO DE OBRA. TERMO ADITIVO. REDUÇÃO DE JORNADA DE 44 HORAS PARA 40 HORAS SEMANAIS. INCLUSÃO DO BENEFÍCIO DE REEMBOLSO-CRECHE. APLICAÇÃO AOS CONTRATOS REGIDOS PELA LEI Nº 14.133, DE 2021, E PELA LEI Nº 8.666, DE 1993.</w:t>
      </w:r>
    </w:p>
    <w:p>
      <w:r>
        <w:t>I. Fundamento legal: art. 3º, III, e art. 4º do Decreto nº 12.174, de 11 de setembro de 2024, com redação dada pelo Decreto nº 12.926, de 13 de abril de 2026; Instrução Normativa SEGES/MGI nº 190, de 5 de dezembro de 2024, com as alterações da Instrução Normativa SEGES/MGI nº 148, de 13 de abril de 2026; e Instrução Normativa SEGES/MGI nº 147, de 13 de abril de 2026.</w:t>
      </w:r>
    </w:p>
    <w:p>
      <w:r>
        <w:t>II. Objeto: celebração de termo aditivo, isolada ou cumulativamente, para redução da jornada semanal de 44 para 40 horas e para inclusão do benefício de reembolso-creche, no valor unitário mensal de R$ 526,64 por dependente e percentual padrão de incidência de 20% na planilha de custos, observadas as regras de interação com a convenção ou acordo coletivo aplicável, em contratos de serviços contínuos com regime de dedicação exclusiva ou de predominância de mão de obra.</w:t>
      </w:r>
    </w:p>
    <w:p>
      <w:r>
        <w:t>III. Prazo: celebração entre 1º de maio e 31 de dezembro de 2026, em todo caso dentro da vigência do contrato; admite-se, quanto ao reembolso-creche, produção de efeitos retroativa ao primeiro dia do mês de celebração do aditivo, nos termos do art. 25, § 1º, da Instrução Normativa SEGES/MGI nº 147, de 2026.</w:t>
      </w:r>
    </w:p>
    <w:p>
      <w:r>
        <w:t>IV. Recomendação: adoção do presente parecer como Parecer Referencial, na forma da Orientação Normativa AGU nº 55, de 23 de maio de 2014, e da Portaria PGF nº 262, de 5 de maio de 2017, nos casos de ausência de dúvidas jurídicas.</w:t>
      </w:r>
    </w:p>
    <w:p>
      <w:r>
        <w:t>V. Esta Manifestação Jurídica Referencial se aplica aos termos aditivos que tratem, isolada ou cumulativamente, da redução de jornada de 44 horas para 40 horas semanais e da inclusão do benefício de reembolso-creche, nos contratos de prestação de serviços contínuos com regime de dedicação exclusiva de mão de obra, aplicável tanto aos contratos regidos pela Lei nº 14.133, de 2021, quanto aos regidos pela Lei nº 8.666, de 1993.</w:t>
      </w:r>
    </w:p>
    <w:p>
      <w:r>
        <w:t>VI. Esta Manifestação Jurídica Referencial não se aplica aos seguintes casos:</w:t>
      </w:r>
    </w:p>
    <w:p>
      <w:r>
        <w:t>a) contratos em que os serviços sejam prestados em escala de revezamento 12x36 ou 24x72, no que toca à redução de jornada (art. 3º, III, da Instrução Normativa SEGES/MGI nº 190, de 2024);</w:t>
      </w:r>
    </w:p>
    <w:p>
      <w:r>
        <w:t>b) contratos de obras e serviços de engenharia, quanto à redução de jornada e ao reembolso-creche, em relação aos quais a extensão do Decreto nº 12.174, de 2024, alcança apenas as garantias do art. 2º (parágrafo único do art. 1º, incluído pelo Decreto nº 12.926, de 2026);</w:t>
      </w:r>
    </w:p>
    <w:p>
      <w:r>
        <w:t>c) situações em que haja dúvida jurídica específica a ser dirimida, inclusive quanto ao enquadramento do contrato, à interação entre o reembolso-creche e a convenção ou acordo coletivo aplicável ou à suficiência do provisionamento da planilha de custos.</w:t>
      </w:r>
    </w:p>
    <w:p>
      <w:r>
        <w:t>VII. O atestado de adequação deverá indicar expressamente se o aditivo trata da redução de jornada, do reembolso-creche ou de ambos, bem como se há ou não benefício semelhante previsto em norma coletiva aplicável à categoria.</w:t>
      </w:r>
    </w:p>
    <w:p>
      <w:r>
        <w:t>1. OBJETO DO PARECER REFERENCIAL</w:t>
      </w:r>
    </w:p>
    <w:p>
      <w:r>
        <w:t>1. O presente Parecer Referencial aplica-se à hipótese de celebração de termos aditivos cujo objeto seja (i) a redução de jornada de 44 horas para 40 horas semanais, nos termos do art. 4º do Decreto nº 12.174, de 11 de setembro de 2024, e da Instrução Normativa SEGES/MGI nº 190, de 5 de dezembro de 2024, com alterações da Instrução Normativa SEGES/MGI nº 148, de 13 de abril de 2026, e (ii) a inclusão do benefício de reembolso-creche, nos termos do art. 3º, III, do Decreto nº 12.174, de 2024, com redação dada pelo Decreto nº 12.926, de 13 de abril de 2026, e da Instrução Normativa SEGES/MGI nº 147, de 13 de abril de 2026 de maneira isolada ou cumulada.</w:t>
      </w:r>
    </w:p>
    <w:p>
      <w:r>
        <w:t>2. Esta manifestação não se aplica aos contratos em que os serviços sejam prestados em escala de revezamento 12x36 ou 24x72, no que toca à redução de jornada (art. 3º, III, da Instrução Normativa SEGES/MGI nº 190, de 2024). Também não se aplica aos contratos de obras e serviços de engenharia, quanto à redução de jornada e ao reembolso-creche, em relação aos quais a extensão do Decreto nº 12.174, de 2024, alcança apenas as garantias do art. 2º (parágrafo único do art. 1º, incluído pelo Decreto nº 12.926, de 2026), nem tampouco nas situações em que haja dúvida jurídica específica a ser dirimida, inclusive quanto ao enquadramento do contrato, à interação entre o reembolso-creche e a convenção ou acordo coletivo aplicável ou à suficiência do provisionamento da planilha de custos.</w:t>
      </w:r>
    </w:p>
    <w:p>
      <w:r>
        <w:t>3. O ente assessorado deverá atestar, de forma expressa, que o caso concreto se enquadra na hipótese deste parecer,nos termos do art. 3º, § 2º, da Portaria PGF/AGU nº 262, de 2017. Deverá, ainda, adotar o modelo de termo aditivo constante do Anexo I deste parecer.</w:t>
      </w:r>
    </w:p>
    <w:p>
      <w:r>
        <w:t>4. A Administração poderá, a qualquer tempo, provocar a atuação do órgão de consultoria nas dúvidas jurídicas específicas que surgirem nos processos desta espécie, bem como para atualização do presente parecer.</w:t>
      </w:r>
    </w:p>
    <w:p>
      <w:r>
        <w:t>5. Recomenda-se que o planejamento da contratação seja realizado em conformidade com as diretrizes constantes do Instrumento de Padronização dos Procedimentos de Contratação (IPP), disponível em: https://www.gov.br/agu/pt-br/comunicacao/noticias/instrumento-de-padronizacao-dos-procedimentos.pdf. Além disso, devem ser juntadas aos autos as declarações contidas no referido documento.</w:t>
      </w:r>
    </w:p>
    <w:p>
      <w:r>
        <w:t>2. CABIMENTO DA MANIFESTAÇÃO JURÍDICA REFERENCIAL</w:t>
      </w:r>
    </w:p>
    <w:p>
      <w:r>
        <w:t>6. A Orientação Normativa AGU nº 55, de 2014, autoriza a adoção de manifestação jurídica referencial, que dispensa a análise individualizada de matérias que envolvam questões jurídicas idênticas e recorrentes, nos seguintes termos:</w:t>
      </w:r>
    </w:p>
    <w:p>
      <w:r>
        <w:t>I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7. Trata-se de medida adequada para orientar a Administração, sendo capaz de conferir segurança jurídica à sua atuação, sem a necessidade de análise individualizada desses processos pelo órgão jurídico, salvo se houver dúvida jurídica.</w:t>
      </w:r>
    </w:p>
    <w:p>
      <w:r>
        <w:t>8. A manifestação jurídica referencial é importante ferramenta para otimizar e racionalizar o trabalho, viabilizando maior dedicação às questões complexas, prioritárias, estratégicas e especializadas, que demandam uma atuação qualificada.</w:t>
      </w:r>
    </w:p>
    <w:p>
      <w:r>
        <w:t>9. Para a elaboração de manifestação jurídica referencial, devem ser observados os requisitos da Portaria PGF nº 262, de 2017, editada para disciplinar a questão: (i) o volume de processos em matérias idênticas e recorrentes que acarrete sobrecarga de trabalho devidamente comprovada e venha a impactar, justificadamente, a atuação do órgão consultivo ou a celeridade dos serviços administrativos; e (ii) a atividade jurídica exercida deve se restringir à verificação do atendimento das exigências legais a partir da simples conferência de documentos.</w:t>
      </w:r>
    </w:p>
    <w:p>
      <w:r>
        <w:t>10. A universalização da jornada de 40 horas e a obrigatoriedade do reembolso-creche, instituídas pelo Decreto nº 12.926, de 2026, e pelas Instruções Normativas SEGES/MGI nº 147 e 148, de 2026, alcançam a totalidade dos contratos federais de dedicação exclusiva de mão de obra em regime comum. A dimensão do universo abrangido, a uniformidade do tratamento regulatório e a natureza essencialmente documental da análise jurídica enquadram-se, com precisão, nas hipóteses autorizadas pela Orientação Normativa AGU nº 55, de 2014, e pela Portaria PGF nº 262, de 2017.</w:t>
      </w:r>
    </w:p>
    <w:p>
      <w:r>
        <w:t>3. LIMITES DA ANÁLISE JURÍDICA</w:t>
      </w:r>
    </w:p>
    <w:p>
      <w:r>
        <w:t>11. Esta manifestação jurídica tem o objetivo de contribuir com o controle prévio da legalidade, conforme previsto no art. 53 da Lei nº 14.133, de 2021. Questões técnicas, como a conferência das planilhas de custo, a apuração do número de beneficiários potenciais, o detalhamento das ocupações alcançadas e o exame da convenção ou acordo coletivo aplicável, são de atribuição da Administração (art. 53 da Lei nº 14.133, de 2021, e Enunciado BPC nº 7 do Manual de Boas Práticas Consultivas da Advocacia-Geral da União).</w:t>
      </w:r>
    </w:p>
    <w:p>
      <w:r>
        <w:t>12. Exclui-se da competência da ELIC o exame de legislação específica relacionada à atividade-fim do ente assessorado que seja aplicável ao caso concreto, nos termos do art. 2º da Portaria Normativa PGF/AGU nº 73, de 2025. Tal análise deve ser feita pelo órgão de assessoramento jurídico local.</w:t>
      </w:r>
    </w:p>
    <w:p>
      <w:r>
        <w:t>13. A presente análise pressupõe a adoção do modelo de termo aditivo constante do Anexo I deste parecer e o uso do Instrumento de Padronização dos Procedimentos de Contratação (IPP).</w:t>
      </w:r>
    </w:p>
    <w:p>
      <w:r>
        <w:t>14. Tratando-se de aditamento a contrato administrativo, não cabe, como regra, apreciar a regularidade jurídica de todo o procedimento que culminou com o ajuste original, nem os termos aditivos anteriormente celebrados. Em caso de dúvida específica, o processo poderá ser remetido para análise quanto ao ponto indicado.</w:t>
      </w:r>
    </w:p>
    <w:p>
      <w:r>
        <w:t>15. Não há determinação legal de fiscalização posterior do cumprimento das recomendações feitas neste parecer, conforme Boa Prática Consultiva nº 5. Caso a autoridade administrativa deixe de acatá-las, assume, inteiramente, a responsabilidade por sua conduta.</w:t>
      </w:r>
    </w:p>
    <w:p>
      <w:r>
        <w:t>4. MOLDURA NORMATIVA</w:t>
      </w:r>
    </w:p>
    <w:p>
      <w:r>
        <w:t>16. A política de valorização dos trabalhadores terceirizados da Administração Pública Federal, iniciada em 2024 com o Decreto nº 12.174 e a Instrução Normativa SEGES/MGI nº 190, teve sua terceira fase implementada pelo conjunto normativo publicado no Diário Oficial da União de 14 de abril de 2026: o Decreto nº 12.926, de 13 de abril de 2026, e as Instruções Normativas SEGES/MGI nº 147 e nº 148, de 13 de abril de 2026. Este parecer referencial incorpora a disciplina integrada desses atos.</w:t>
      </w:r>
    </w:p>
    <w:p>
      <w:r>
        <w:t>17. O Decreto nº 12.926, de 2026, promove quatro alterações no Decreto nº 12.174, de 2024. Em primeiro lugar, dá nova redação ao parágrafo único do art. 1º, para restringir a extensão de suas disposições aos contratos de execução de obras e serviços de engenharia: antes alcançavam-nos tanto o art. 2º quanto o art. 3º do decreto; agora, apenas o art. 2º. Em segundo lugar, inclui o inciso III no art. 3º, para tornar obrigatória a concessão do benefício de reembolso-creche ao trabalhador ou à trabalhadora com filho, enteado ou criança sob guarda judicial de até cinco anos e onze meses de idade, transformando o antigo parágrafo único em §1º e acrescendo §2º que remete a ato da Secretaria de Gestão e Inovação a disciplina dos prazos, do valor, das formas de comprovação, dos mecanismos de controle de duplicidade e da rotina de fiscalização. Em terceiro lugar, acresce o §3º ao art. 5º, para estabelecer que os benefícios trabalhistas e sociais não previstos em convenção ou acordo coletivo sejam estimados por pesquisa de preços no âmbito da administração pública ou no mercado, com teto correspondente aos valores pagos aos servidores públicos federais. Por fim, altera o art. 9º, III, do Decreto nº 9.507, de 2018, para incluir o reembolso-creche na relação mínima de benefícios dos contratos de terceirização.</w:t>
      </w:r>
    </w:p>
    <w:p>
      <w:r>
        <w:t>18. A Instrução Normativa SEGES/MGI nº 148, de 2026, altera o Anexo I da Instrução Normativa SEGES/MGI nº 190, de 2024, para incluir a categoria residual denominada "demais serviços" (item 13), abrangendo todos os postos de dedicação exclusiva de mão de obra não contemplados nas fases anteriores, com período de implementação de 1º de maio a 31 de dezembro de 2026. A mesma Instrução Normativa revoga os incisos I e II e o parágrafo único do art. 3º da Instrução Normativa nº 190, de 2024, de modo que as exceções à redução de jornada, antes relativas também àqueles serviços prestados aos sábados, domingos e de modo intermitente, passam a alcançar apenas os serviços prestados em escala de revezamento 12x36 ou 24x72.</w:t>
      </w:r>
    </w:p>
    <w:p>
      <w:r>
        <w:t>19. A Instrução Normativa SEGES/MGI nº 147, de 2026, regulamenta o reembolso-creche, fixando o valor unitário em R$ 526,64 por dependente, por mês (Anexo I), o percentual de incidência padrão de 20% para estimativa na planilha de custos (Anexo II), as regras de interação com normas coletivas (arts. 3º e 4º), o mecanismo de ativação e controle pelo sistema Contratos.gov.br e a rotina de fiscalização semestral por amostragem (art. 16). A mesma Instrução Normativa altera a IN SEGES/MGI nº 176, de 2024, para incluir o reembolso-creche como custo mínimo relevante, e a IN SEGES nº 5, de 2017, para adaptar o Anexo VIII-B às novas rotinas de documentação.</w:t>
      </w:r>
    </w:p>
    <w:p>
      <w:r>
        <w:t>5. REDUÇÃO DE JORNADA DE 44 HORAS PARA 40 HORAS SEMANAIS</w:t>
      </w:r>
    </w:p>
    <w:p>
      <w:r>
        <w:t>5.1 Fundamento e universalização</w:t>
      </w:r>
    </w:p>
    <w:p>
      <w:r>
        <w:t>20. O art. 4º, caput, do Decreto nº 12.174, de 2024, dispõe que, nos contratos de prestação de serviços com regime de dedicação exclusiva de mão de obra ou de predominância de mão de obra, a jornada semanal de 44 horas estabelecida em acordo individual escrito, convenção coletiva, acordo coletivo de trabalho ou dissídio coletivo poderá ser reduzida para 40 horas semanais, sem prejuízo da remuneração do trabalhador:</w:t>
      </w:r>
    </w:p>
    <w:p>
      <w:r>
        <w:t>Art. 4º Nos contratos de prestação de serviços com regime de dedicação exclusiva de mão de obra ou predominância de mão de obra, a jornada semanal de trabalho de quarenta e quatro horas estabelecida em acordo individual escrito, convenção coletiva, acordo coletivo de trabalho ou dissídio coletivo poderá ser reduzida para quarenta horas, sem prejuízo da remuneração do trabalhador.</w:t>
      </w:r>
    </w:p>
    <w:p>
      <w:r>
        <w:t>21. Com a inclusão da categoria residual "demais serviços" no Anexo I da Instrução Normativa SEGES/MGI nº 190, de 2024, promovida pela Instrução Normativa nº 148, de 2026, a redução de jornada passa a alcançar a totalidade dos postos de dedicação exclusiva de mão de obra, ressalvadas apenas as exceções do art. 3º remanescente, sendo certo que o prazo de implementação das adaptações à categoria residual fluirá de 1º de maio a 31 de dezembro de 2026.</w:t>
      </w:r>
    </w:p>
    <w:p>
      <w:r>
        <w:t>22. A redução deverá ser aplicada: (i) independentemente do título atribuído ao serviço no contrato, desde que as atividades desempenhadas se assemelhem à descrição da Classificação Brasileira de Ocupações; (ii) a todos os trabalhadores que prestem serviços no âmbito do contrato; e (iii) aos encarregados gerais relativos aos serviços listados no Anexo I, na forma do art. 2º, §§ 1º a 3º, da Instrução Normativa SEGES/MGI nº 190, de 2024.</w:t>
      </w:r>
    </w:p>
    <w:p>
      <w:r>
        <w:t>5.2 Exceção remanescente</w:t>
      </w:r>
    </w:p>
    <w:p>
      <w:r>
        <w:t>23. Após a revogação dos incisos I e II e do parágrafo único do art. 3º da Instrução Normativa nº 190, de 2024, pelo art. 3º da Instrução Normativa nº 148, de 2026, a única exceção remanescente à redução de jornada é a dos serviços prestados em escala de revezamento 12x36 ou 24x72. As hipóteses antes relativas a sábados, domingos e serviços intermitentes deixaram de operar como excludentes.</w:t>
      </w:r>
    </w:p>
    <w:p>
      <w:r>
        <w:t>5.3 Cautelas na formalização</w:t>
      </w:r>
    </w:p>
    <w:p>
      <w:r>
        <w:t>24. Por ocasião do aditamento, deverão ser observadas as cautelas do art. 4º da Instrução Normativa SEGES/MGI nº 190, de 2024:</w:t>
      </w:r>
    </w:p>
    <w:p>
      <w:r>
        <w:t>a) Adaptação do modelo de execução: verificar o impacto da redução da jornada no modelo de execução do objeto, com eventuais alterações da rotina e do período de disponibilização do serviço (§ 1º);</w:t>
      </w:r>
    </w:p>
    <w:p>
      <w:r>
        <w:t>b) Vedação de aumento do intervalo intrajornada: as adaptações não poderão implicar aumento do intervalo intrajornada dos trabalhadores alocados na contratação (§ 2º);</w:t>
      </w:r>
    </w:p>
    <w:p>
      <w:r>
        <w:t>c) Vedação de aproveitamento do saldo de horas: a minuta deve prever expressamente a vedação de a contratada utilizar o saldo de horas reduzidas para a realização de outras atividades pelos empregados alocados em regime de dedicação exclusiva (§ 3º).</w:t>
      </w:r>
    </w:p>
    <w:p>
      <w:r>
        <w:t>6. INCLUSÃO DO BENEFÍCIO DE REEMBOLSO-CRECHE</w:t>
      </w:r>
    </w:p>
    <w:p>
      <w:r>
        <w:t>6.1 Fundamento, beneficiários e valor</w:t>
      </w:r>
    </w:p>
    <w:p>
      <w:r>
        <w:t>25. O art. 3º, III, do Decreto nº 12.174, de 2024, incluído pelo Decreto nº 12.926, de 2026, tornou obrigatória, nos contratos de prestação de serviços com dedicação exclusiva de mão de obra, a concessão de reembolso-creche aos trabalhadores que possuam filho, enteado ou criança sob guarda judicial com idade de até 5 anos e 11 meses. A Instrução Normativa SEGES/MGI nº 147, de 2026, fixa o valor unitário em R$ 526,64 por dependente, por mês (Anexo I), equivalente ao valor pago aos servidores públicos federais.</w:t>
      </w:r>
    </w:p>
    <w:p>
      <w:r>
        <w:t>26. Tratando-se de benefício social não previsto originariamente na norma coletiva, o § 3º do art. 5º do Decreto nº 12.174, de 2024, incluído pelo Decreto nº 12.926, de 2026, fixa o teto dos valores nos patamares pagos aos servidores públicos federais, parâmetro com alcance geral aplicável também a outros benefícios nessa situação.</w:t>
      </w:r>
    </w:p>
    <w:p>
      <w:r>
        <w:t>6.2 Interação com normas coletivas</w:t>
      </w:r>
    </w:p>
    <w:p>
      <w:r>
        <w:t>27. Os arts. 3º e 4º da Instrução Normativa SEGES/MGI nº 147, de 2026, adotam o princípio da norma mais favorável ao trabalhador, em coerência com o art. 7º da Constituição da República Federativa do Brasil de 1988 (CRFB/88). Três situações podem ocorrer na análise da categoria: (i) a convenção ou acordo coletivo não prevê benefício de natureza congênere, hipótese em que o reembolso-creche é devido na integralidade prevista no Anexo I; (ii) a convenção prevê benefício congênere em valor inferior, hipótese em que o contrato administrativo complementa a diferença até o valor de R$ 526,64; e (iii) a convenção prevê benefício congênere em valor igual ou superior, hipótese em que prevalece integralmente a norma coletiva, sem complementação a cargo da Administração (art. 4º).</w:t>
      </w:r>
    </w:p>
    <w:p>
      <w:r>
        <w:t>28. Cabe à Administração, com o suporte da área técnica e da gestão contratual, identificar a convenção ou acordo coletivo aplicável a cada categoria alocada no contrato e examinar se existe benefício de natureza congênere, bem como o respectivo valor. Essa verificação é pressuposto para a correta delimitação do escopo do aditivo e para a composição da planilha de custos. O parecer referencial não substitui essa análise casuística, que deve ser expressamente atestada nos autos.</w:t>
      </w:r>
    </w:p>
    <w:p>
      <w:r>
        <w:t>29. A ativação do benefício não produz efeitos retroativos (art. 3º, § 4º, da Instrução Normativa SEGES/MGI nº 147, de 2026), operando a partir do ato de habilitação do dependente, o que simplifica a gestão dos aditivos e da folha contratual. Essa vedação à retroatividade circunscreve-se à ativação individual do benefício por dependente, não se confundindo com a eficácia temporal do aditivo contratual, que, nos termos do art. 25, § 1º, da mesma Instrução Normativa, examinado no item 51 deste parecer, pode retroagir ao primeiro dia do mês de sua celebração.</w:t>
      </w:r>
    </w:p>
    <w:p>
      <w:r>
        <w:t>6.3 Planilha de custos e percentual de incidência</w:t>
      </w:r>
    </w:p>
    <w:p>
      <w:r>
        <w:t>30. O Anexo II da Instrução Normativa SEGES/MGI nº 147, de 2026, estabelece o percentual padrão de incidência de 20% sobre o quadro de postos para fins de estimativa do custo do reembolso-creche na planilha. Ilustrativamente, em contrato com 100 postos, o provisionamento deve considerar 20 beneficiários potenciais, multiplicados pelo valor unitário mensal.</w:t>
      </w:r>
    </w:p>
    <w:p>
      <w:r>
        <w:t>31. O afastamento do percentual padrão é admitido, nos termos do art. 6º, §§ 1º, II e 2º, da Instrução Normativa SEGES/MGI nº 147, de 2026, mediante demonstração analítica fundada em método estatístico, considerando inclusive a tendência de aumento da incidência referida no § 3º do mesmo artigo. A fundamentação dessa opção, quando adotada, deve constar dos autos.</w:t>
      </w:r>
    </w:p>
    <w:p>
      <w:r>
        <w:t>32. O reembolso-creche é pagamento condicionado ao efetivo desembolso mensal da contratada, comprovado por nota fiscal, recibo ou documento equivalente (art. 6º, § 4º c/c art. 11, II e retomada no art. 16, § 1º, III). O saldo não utilizado do provisionamento não pode ser apropriado pela contratada (art. 15, § 2º). Quando o provisionamento se mostrar insuficiente, a Administração deve promover alteração contratual nos termos do art. 136, II e IV, da Lei nº 14.133, de 2021 (art. 15, § 1º).</w:t>
      </w:r>
    </w:p>
    <w:p>
      <w:r>
        <w:t>33. Recomenda-se que a fiscalização do contrato acompanhe, ao longo da execução, a efetiva procura pelo benefício e o comportamento da taxa real de adesão, registrando-a nos relatórios periódicos previstos no Anexo VIII-B da Instrução Normativa SEGES nº 5, de 2017, com a redação da Instrução Normativa SEGES/MGI nº 147, de 2026. Havendo divergência relevante entre o percentual de incidência estimado, de regra, vinte por cento, e a realidade verificada, o gestor deve avaliar a conveniência de promover alteração contratual para ajuste do provisionamento, nos termos do art. 136, II e IV, da Lei nº 14.133, de 2021, bem como consolidar os dados observados para subsidiar, em licitações futuras do mesmo objeto ou de objeto assemelhado, a calibragem do percentual a ser adotado na planilha de custos, afastando, quando fundamentado, o parâmetro padrão previsto no Anexo II, segundo o que estabelece o art. 6º, § 1º, II.</w:t>
      </w:r>
    </w:p>
    <w:p>
      <w:r>
        <w:t>6.4 Controle de elegibilidade e precedência</w:t>
      </w:r>
    </w:p>
    <w:p>
      <w:r>
        <w:t>34. O art. 18 da Instrução Normativa SEGES/MGI nº 147, de 2026, estabelece a precedência da mãe no recebimento do benefício, implicando desativação automática do benefício percebido pelo pai, inclusive para fins de complementação, quando aquela ativar seu direito. Para famílias homoparentais, prevalece a ordem cronológica de ativação (art. 19). A operacionalização corre pelo sistema Contratos.gov.br.</w:t>
      </w:r>
    </w:p>
    <w:p>
      <w:r>
        <w:t>35. Enquanto a funcionalidade do Contratos.gov.br não incorporar a verificação automatizada da unicidade, a verificação cabe à fiscalização, observado o art. 16, § 3º (fiscalização por amostragem) e art. 23, parágrafo único, c/c art. 17 (controle manual da unicidade). Nesse sentido, é recomendável que, como condição de ativação do benefício, o empregado firme, perante a contratada, declaração sobre a eventual percepção de benefício da mesma natureza por outra fonte, pública ou privada, em nome do mesmo dependente. Cabe à contratada arquivar o documento e, no prazo estabelecido pela fiscalização, remeter-lhe cópia, juntamente com os demais elementos exigidos para a habilitação do dependente. A declaração será atualizada anualmente, ou a cada alteração de estado civil ou de guarda, observado o mesmo fluxo de apresentação à contratada e de remessa à fiscalização.</w:t>
      </w:r>
    </w:p>
    <w:p>
      <w:r>
        <w:t>6.5 Fiscalização</w:t>
      </w:r>
    </w:p>
    <w:p>
      <w:r>
        <w:t>36. A fiscalização opera por amostragem semestral, examinando, por beneficiário, a documentação de comprovação de pelo menos um mês a cada semestre (art. 16 da Instrução Normativa SEGES/MGI nº 147, de 2026). O Anexo VIII-B da IN SEGES nº 5, de 2017, foi atualizado para incorporar os documentos do benefício na rotina ordinária de fiscalização.</w:t>
      </w:r>
    </w:p>
    <w:p>
      <w:r>
        <w:t>7. ENQUADRAMENTO JURÍDICO DO ADITIVO</w:t>
      </w:r>
    </w:p>
    <w:p>
      <w:r>
        <w:t>37. O aditivo de que trata este parecer não se enquadra nas hipóteses de alteração unilateral (art. 124, I, da Lei nº 14.133, de 2021, ou art. 65, I, da Lei nº 8.666, de 1993, conforme o regime aplicável ao contrato). Cuida-se de alteração consensual, suportada pelo art. 124, II, da Lei nº 14.133, de 2021, ou pelo art. 65, II, da Lei nº 8.666, de 1993, reconhecendo a própria norma regulamentar a possibilidade de recusa da contratada (art. 25, § 2º, da Instrução Normativa SEGES/MGI nº 147, de 2026, quanto ao reembolso-creche; art. 4º, § 4º, da Instrução Normativa SEGES/MGI nº 190, de 2024, quanto à jornada).</w:t>
      </w:r>
    </w:p>
    <w:p>
      <w:r>
        <w:t>38. Não se trata, tampouco, de repactuação (art. 135 da Lei nº 14.133, de 2021, ou, no regime da Lei nº 8.666, de 1993, do instituto equivalente disciplinado pela Instrução Normativa SEGES/MP nº 05, de 2017, com fundamento no art. 40, XI, da mesma Lei), mas de adequação contratual decorrente de norma regulamentar superveniente, com repercussão direta na planilha de custos e nas cláusulas de execução. A causa jurídica do aditivo é a determinação normativa e a observância do equilíbrio econômico-financeiro inicial do ajuste.</w:t>
      </w:r>
    </w:p>
    <w:p>
      <w:r>
        <w:t>8. DISCORDÂNCIA DA EMPRESA CONTRATADA</w:t>
      </w:r>
    </w:p>
    <w:p>
      <w:r>
        <w:t>39. Se a contratada recusar o aditivo, não há imposição unilateral possível. Quanto ao reembolso-creche, o art. 25, § 2º, da Instrução Normativa SEGES/MGI nº 147, de 2026, admite a manutenção da contratação até a realização de novo processo licitatório, pelo prazo adicional de 18 meses contado do termo final do período de implementação. Quanto à redução de jornada, o art. 4º, § 4º, da Instrução Normativa SEGES/MGI nº 190, de 2024, prevê idêntico prazo adicional de 18 meses.</w:t>
      </w:r>
    </w:p>
    <w:p>
      <w:r>
        <w:t>40. A nova contratação, nesse cenário, deverá incorporar, desde a origem, as cláusulas relativas à jornada de 40 horas e ao reembolso-creche, observadas as minutas padronizadas pela AGU.</w:t>
      </w:r>
    </w:p>
    <w:p>
      <w:r>
        <w:t>9. REGRAS DE TRANSIÇÃO</w:t>
      </w:r>
    </w:p>
    <w:p>
      <w:r>
        <w:t>41. As regras de transição aplicáveis aos processos administrativos em curso estão nos arts. 4º e 6º da Instrução Normativa SEGES/MGI nº 190, de 2024, e nos arts. 25 a 27 da Instrução Normativa SEGES/MGI nº 147, de 2026. O tratamento varia conforme o estágio em que se encontre a contratação no momento da entrada em vigor das novas normas.</w:t>
      </w:r>
    </w:p>
    <w:p>
      <w:r>
        <w:t>42. Nos processos em que o edital já tenha sido publicado e o instrumento contratual ainda não esteja assinado, a licitação prossegue nos termos em que estruturada, sem necessidade de revisão dos atos anteriores. Firmado o contrato, incide o dever de adaptação por termo aditivo, na forma do art. 4º da Instrução Normativa nº 190, de 2024, quanto à redução de jornada, e do art. 26 da Instrução Normativa nº 147, de 2026, quanto ao reembolso-creche.</w:t>
      </w:r>
    </w:p>
    <w:p>
      <w:r>
        <w:t>43. Nos processos em que o edital ainda não tenha sido publicado e nas contratações diretas cujo instrumento ainda não tenha sido assinado, os artefatos de planejamento devem ser atualizados antes da publicação ou da assinatura para incorporar as novas exigências,</w:t>
      </w:r>
    </w:p>
    <w:p>
      <w:r>
        <w:t>44. O parágrafo único do art. 27 da Instrução Normativa nº 147, de 2026, afasta a exigência de adaptação prévia nos editais publicáveis em até sessenta dias e nas contratações diretas assinadas em até trinta dias contados da entrada em vigor da norma. A ressalva, entretanto, não institui dispensa material do reembolso-creche para os contratos dela decorrentes. Trata-se de regra procedimental de continuidade da licitação, destinada a evitar que a vigência da nova disciplina imponha retrabalho das planilhas de custos, republicação de aviso e reabertura de prazos em processos já em estágio adiantado de planejamento.</w:t>
      </w:r>
    </w:p>
    <w:p>
      <w:r>
        <w:t>45. Interpretação em sentido oposto, que assegurasse dispensa permanente aos contratos originados nessa janela, conduziria a resultado incongruente. Contratos em execução há anos submetem-se ao aditamento previsto no art. 25 da Instrução Normativa nº 147, de 2026, ao passo que contratos novos, nascidos de editais beneficiados pela transição, permaneceriam isentos do reembolso-creche indefinidamente. Romper-se-ia a isonomia material entre trabalhadores terceirizados de contratos de idêntica natureza, em desacordo com a universalização pretendida pelo Decreto nº 12.926, de 2026. A leitura adequada é bifásica: o edital segue publicado sem a cláusula de reembolso-creche, e a licitação tramita regularmente; o contrato resultante, contudo, deverá ser objeto de termo aditivo, dentro do prazo geral de transição, para incorporação do benefício. Idêntica orientação alcança as contratações diretas assinadas na janela de trinta dias, que deverão ser aditadas após a assinatura.</w:t>
      </w:r>
    </w:p>
    <w:p>
      <w:r>
        <w:t>46. Os contratos em execução na data de entrada em vigor das novas normas devem ser objeto de termo aditivo entre 1º de maio e 31 de dezembro de 2026, tanto para a redução de jornada, observada a faixa prevista no Anexo I da Instrução Normativa nº 190, de 2024, com a redação dada pela Instrução Normativa nº 148, de 2026, quanto para a inclusão do reembolso-creche. Quanto a este último, admite-se a produção de efeitos retroativos ao primeiro dia do mês da celebração do aditivo, nos termos do art. 25, § 1º, da Instrução Normativa nº 147, de 2026.</w:t>
      </w:r>
    </w:p>
    <w:p>
      <w:r>
        <w:t>10. REQUISITOS PARA A CELEBRAÇÃO DO TERMO ADITIVO</w:t>
      </w:r>
    </w:p>
    <w:p>
      <w:r>
        <w:t>47. A Administração deverá comprovar, nos autos, o atendimento dos seguintes requisitos:</w:t>
      </w:r>
    </w:p>
    <w:p>
      <w:r>
        <w:t>10.1 Enquadramento do contrato</w:t>
      </w:r>
    </w:p>
    <w:p>
      <w:r>
        <w:t>48. A área técnica deverá verificar e atestar nos autos, cumulativamente: (i) que o contrato tem por objeto prestação de serviços contínuos com regime de dedicação exclusiva de mão de obra; (ii) que os serviços não se enquadram na exceção de escala de revezamento 12x36 ou 24x72, no que toca à redução de jornada; (iii) que não se trata de contrato de obra ou serviço de engenharia, em relação aos quais a extensão do Decreto nº 12.174, de 2024, alcança apenas as garantias do art. 2º.</w:t>
      </w:r>
    </w:p>
    <w:p>
      <w:r>
        <w:t>10.2 Identificação da norma coletiva e mapeamento do benefício congênere</w:t>
      </w:r>
    </w:p>
    <w:p>
      <w:r>
        <w:t>49. Quanto ao reembolso-creche, a área técnica deverá juntar aos autos a convenção ou acordo coletivo aplicável a cada categoria alocada no contrato e consignar, de forma expressa, a existência ou não de benefício de natureza congênere, bem como o respectivo valor, para fins de aplicação dos arts. 3º e 4º da Instrução Normativa SEGES/MGI nº 147, de 2026.</w:t>
      </w:r>
    </w:p>
    <w:p>
      <w:r>
        <w:t>10.3 Planilha de custos revisada</w:t>
      </w:r>
    </w:p>
    <w:p>
      <w:r>
        <w:t>50. A planilha de custos deve ser revisada para contemplar: (i) o novo custo unitário hora-homem decorrente da redução de jornada sem prejuízo da remuneração; e (ii) o provisionamento do reembolso-creche, adotando o percentual padrão de 20% de incidência ou justificando analiticamente parâmetro diverso, nos termos do art. 6º da Instrução Normativa SEGES/MGI nº 147, de 2026.</w:t>
      </w:r>
    </w:p>
    <w:p>
      <w:r>
        <w:t>10.4 Celebração no prazo de implementação</w:t>
      </w:r>
    </w:p>
    <w:p>
      <w:r>
        <w:t>51. O termo aditivo deverá ser celebrado entre 1º de maio e 31 de dezembro de 2026 e, em todo caso, dentro do prazo de vigência do contrato. Admite-se a produção de efeitos retroativa ao primeiro dia do mês de celebração, quanto ao reembolso-creche, nos termos do art. 25, § 1º, da Instrução Normativa SEGES/MGI nº 147, de 2026.</w:t>
      </w:r>
    </w:p>
    <w:p>
      <w:r>
        <w:t>10.5 Concordância da empresa contratada</w:t>
      </w:r>
    </w:p>
    <w:p>
      <w:r>
        <w:t>52. Deve constar dos autos a concordância expressa da empresa contratada com a alteração proposta. Na hipótese de discordância, aplica-se o disposto no item 8 deste parecer.</w:t>
      </w:r>
    </w:p>
    <w:p>
      <w:r>
        <w:t>11. MINUTA DO TERMO ADITIVO</w:t>
      </w:r>
    </w:p>
    <w:p>
      <w:r>
        <w:t>53. Deve ser utilizado o modelo de termo aditivo constante do Anexo I deste parecer, com as adaptações decorrentes do regime jurídico aplicável ao contrato, Lei nº 14.133, de 2021, ou Lei nº 8.666, de 1993, e com os ajustes específicos ao caso concreto, observadas as notas explicativas do próprio modelo. Os itens seguintes deste capítulo expõem as razões jurídicas das cláusulas recomendadas e podem ser consultados como roteiro para o preenchimento do instrumento.</w:t>
      </w:r>
    </w:p>
    <w:p>
      <w:r>
        <w:t>54. A redução de jornada e a inclusão do reembolso-creche podem ser formalizadas no mesmo termo aditivo, dada a unidade regulatória e a coincidência do período de implementação, desde que o aditivo não contemple outras alterações contratuais, sob pena de afastamento da incidência deste parecer referencial.</w:t>
      </w:r>
    </w:p>
    <w:p>
      <w:r>
        <w:t>55. A minuta deve conter, no mínimo, cláusulas sobre: (i) objeto do aditivo, com indicação precisa dos serviços, ocupações e datas de início da redução de jornada; (ii) extensão da redução a todos os trabalhadores alocados e aos encarregados gerais; (iii) vedação de aproveitamento do saldo de horas reduzidas para outras atividades; (iv) inclusão do reembolso-creche, com indicação do valor unitário, do percentual de incidência adotado na planilha e da regra de interação com a norma coletiva aplicável; (v) forma de comprovação mensal do efetivo pagamento do benefício; (vi) vedação de apropriação do saldo não utilizado pela contratada; (vii) data de produção dos efeitos, com ressalva expressa quanto à retroatividade admitida pela Instrução Normativa nº 147, de 2026; (viii) ratificação das demais cláusulas; e (ix) publicidade do instrumento. Nas cláusulas seguintes indicam-se os conteúdos mínimos recomendados, sem prejuízo da conformação do instrumento ao modelo em sua integralidade.</w:t>
      </w:r>
    </w:p>
    <w:p>
      <w:r>
        <w:t>56. Na cláusula de objeto, o instrumento deve identificar, de forma precisa, as alterações promovidas, discriminando, quando houver redução de jornada, os serviços e ocupações atingidos (com referência à Classificação Brasileira de Ocupações e ao Anexo I da Instrução Normativa SEGES/MGI nº 190, de 2024, com a redação da Instrução Normativa nº 148, de 2026), o novo número de horas semanais e diárias, e a extensão da medida a todos os trabalhadores alocados na execução contratual, inclusive aos encarregados gerais. Havendo inclusão do reembolso-creche, a cláusula deve indicar o fundamento nos arts. 3º, III, e 5º do Decreto nº 12.174, de 2024, com a redação do Decreto nº 12.926, de 2026, e na Instrução Normativa SEGES/MGI nº 147, de 2026, bem como os beneficiários elegíveis, o valor unitário mensal, o percentual de incidência estimado na planilha, o número de postos alcançados e a regra de interação com a convenção ou acordo coletivo aplicável, inclusive quanto à precedência da mãe prevista no art. 18 da mesma Instrução Normativa.</w:t>
      </w:r>
    </w:p>
    <w:p>
      <w:r>
        <w:t>57. Na cláusula de preço, devem constar os valores unitários e totais antes e depois do aditamento, organizados na tabela constante do Anexo I, com demonstração analítica das linhas alteradas na planilha de custos e formação de preços. Tratando-se de redução de jornada, a repactuação decorrente da proporcionalização dos encargos e benefícios deve ser segregada em memória de cálculo anexa. Tratando-se de reembolso-creche, a linha correspondente deve refletir a multiplicação do valor unitário pelo número de beneficiários potenciais resultante do percentual de incidência adotado, vedada a apropriação do saldo não utilizado pela contratada, nos termos do art. 15, § 2º, da Instrução Normativa SEGES/MGI nº 147, de 2026. A cláusula deve registrar, expressamente, o caráter condicional do pagamento do reembolso-creche, que depende de comprovação mensal do efetivo desembolso por nota fiscal, recibo ou documento equivalente (art. 6º, § 4º, da mesma Instrução).</w:t>
      </w:r>
    </w:p>
    <w:p>
      <w:r>
        <w:t>58. Na cláusula de garantia de execução, deve-se prever a adequação proporcional da garantia contratual em função do novo valor global, mantida a proporção percentual originalmente pactuada, com prazo para adequação pela contratada, em conformidade com o modelo constantes do Anexo I, nos termos do art. 96, combinado com o art. 98, da Lei nº 14.133, de 2021, ou do art. 56 da Lei nº 8.666, de 1993, conforme o regime aplicável ao contrato. Havendo apenas supressão de valor em razão da redução de jornada sem repactuação compensatória, faculta-se à contratada manter a garantia já prestada.</w:t>
      </w:r>
    </w:p>
    <w:p>
      <w:r>
        <w:t>59. Na cláusula de produção de efeitos, o termo aditivo relativo à redução de jornada produz efeitos a partir da data nele consignada, observada a faixa de implementação de 1º de maio a 31 de dezembro de 2026 prevista no Anexo I da Instrução Normativa SEGES/MGI nº 190, de 2024, com a redação da Instrução Normativa nº 148, de 2026. O termo aditivo relativo ao reembolso-creche admite produção de efeitos retroativos ao primeiro dia do mês da celebração, nos termos do art. 25, § 1º, da Instrução Normativa SEGES/MGI nº 147, de 2026. A opção pela retroatividade, quando adotada, deve estar motivada nos autos, com indicação da data inicial da geração de efeitos financeiros e da data limite para apresentação dos primeiros documentos comprobatórios pela contratada.</w:t>
      </w:r>
    </w:p>
    <w:p>
      <w:r>
        <w:t>60. Na cláusula de ratificação, o instrumento deve consignar a manutenção de todas as demais cláusulas e condições do contrato originário, naquilo que não contrariem o aditamento, e vedar expressamente o aproveitamento do saldo de horas decorrente da redução de jornada para o cumprimento de outras atividades, inclusive mediante compensação, banco de horas ou realocação de força de trabalho, preservando o efeito humanitário da medida. Recomenda-se, nesta cláusula, registrar a declaração da contratada de que está ciente da obrigação de pagar o reembolso-creche ao trabalhador beneficiário que apresentar a documentação exigida, independentemente do efetivo recebimento do valor pela Administração no mês de referência, quando houver atraso no repasse.</w:t>
      </w:r>
    </w:p>
    <w:p>
      <w:r>
        <w:t>61. Os aditivos que tratem exclusivamente da redução de jornada ou do reembolso-creche dispensam a elaboração de cláusulas de dotação orçamentária e de garantia de execução quando inexistir acréscimo de valor contratual capaz de repercutir na previsão orçamentária original ou na proporção da garantia prestada, hipótese em que, no entanto, deve haver registro expresso dessa circunstância no corpo do instrumento, para fins de rastreabilidade.</w:t>
      </w:r>
    </w:p>
    <w:p>
      <w:r>
        <w:t>62. Cabe à Administração publicizar o termo aditivo, observando, conforme a lei regente da contratação: (i) nos contratos regidos pela Lei nº 14.133, de 2021, a divulgação no Portal Nacional de Contratações Públicas (PNCP) e no sítio oficial na Internet, nos termos dos arts. 91 e 94 da Lei nº 14.133, de 2021, e do art. 8º, § 2º, da Lei nº 12.527, de 2011; (ii) nos contratos regidos pela Lei nº 8.666, de 1993, a publicação de extrato no Diário Oficial da União, conforme art. 61, parágrafo único, da Lei nº 8.666, de 1993, e a divulgação no sítio oficial.</w:t>
      </w:r>
    </w:p>
    <w:p>
      <w:r>
        <w:t>12. PROVIDÊNCIAS COMPLEMENTARES</w:t>
      </w:r>
    </w:p>
    <w:p>
      <w:r>
        <w:t>12.1 Aplicação da Lei nº 13.709, de 2018 (Lei Geral de Proteção de Dados Pessoais)</w:t>
      </w:r>
    </w:p>
    <w:p>
      <w:r>
        <w:t>63. A Administração deve observar o disposto no PARECER n. 00004/2022/CNMLC/CGU/AGU, que trata da aplicação da Lei Geral de Proteção de Dados Pessoais nos modelos de licitação e contratos. A operacionalização do reembolso-creche, por envolver tratamento de dados pessoais de trabalhadores e de dependentes, em especial menores de idade, impõe atenção redobrada à minimização da coleta, à finalidade específica de ativação e comprovação do benefício e à segurança das bases de dados do sistema Contratos.gov.br e dos autos do processo.</w:t>
      </w:r>
    </w:p>
    <w:p>
      <w:r>
        <w:t>12.2 Atualização do mapa de riscos</w:t>
      </w:r>
    </w:p>
    <w:p>
      <w:r>
        <w:t>64. A Administração deve avaliar se o aditamento constitui evento relevante para fins de atualização do mapa de riscos, nos termos do art. 26, § 1º, IV, da IN SEGES nº 5, de 2017, observando, em especial, as variações associadas à nova composição de custos e à rotina de comprovação do reembolso-creche.</w:t>
      </w:r>
    </w:p>
    <w:p>
      <w:r>
        <w:t>13. ATESTADO DE ADEQUAÇÃO DO PROCESSO AO PARECER REFERENCIAL</w:t>
      </w:r>
    </w:p>
    <w:p>
      <w:r>
        <w:t>65. Deverá o órgão assessorado informar, sempre que solicitado, a relação dos processos, com respectivo NUP, em que a presente manifestação jurídica referencial tenha sido adotada. Recomenda-se, ademais, o preenchimento e a juntada aos autos da seguinte declaração:</w:t>
      </w:r>
    </w:p>
    <w:p>
      <w:r>
        <w:t>ATESTADO DE CONFORMIDADE DO PROCESSO COM O PARECER REFERENCIAL</w:t>
      </w:r>
    </w:p>
    <w:p>
      <w:r>
        <w:t>Processo:</w:t>
      </w:r>
    </w:p>
    <w:p>
      <w:r>
        <w:t>Referência/objeto: ( ) redução de jornada de 44 horas para 40 horas semanais; ( ) inclusão do benefício de reembolso-creche; ( ) ambos os objetos, nos termos do art. 3º, III, e art. 4º do Decreto nº 12.174, de 2024 (com redação do Decreto nº 12.926, de 2026), da Instrução Normativa SEGES/MGI nº 190, de 2024 (com alterações da IN SEGES/MGI nº 148, de 2026), e da Instrução Normativa SEGES/MGI nº 147, de 2026.</w:t>
      </w:r>
    </w:p>
    <w:p>
      <w:r>
        <w:t>Convenção ou acordo coletivo aplicável:</w:t>
      </w:r>
    </w:p>
    <w:p>
      <w:r>
        <w:t>Existência de benefício congênere na norma coletiva: ( ) não; ( ) sim, em valor inferior a R$ 526,64 (indicar valor: R$ ); ( ) sim, em valor igual ou superior a R$ 526,64.</w:t>
      </w:r>
    </w:p>
    <w:p>
      <w:r>
        <w:t>Valor total estimado do aditivo: R$</w:t>
      </w:r>
    </w:p>
    <w:p>
      <w:r>
        <w:t>Atesto que o caso concreto dos presentes autos se adequa à hipótese analisada pelo PARECER REFERENCIAL nº 00001/2026/GERTEC/ELIC/PGF/AGU, cujas recomendações foram integralmente atendidas.</w:t>
      </w:r>
    </w:p>
    <w:p>
      <w:r>
        <w:t>Fica, assim, dispensada a remessa dos autos para exame individualizado pela Procuradoria Federal Especializada junto à autarquia/fundação, nos termos da Portaria PGF/AGU nº 262, de 5 de maio de 2017, e Orientação Normativa nº 55 da Advocacia-Geral da União.</w:t>
      </w:r>
    </w:p>
    <w:p>
      <w:r>
        <w:t>................................................... de.......................................... de 20.....</w:t>
      </w:r>
    </w:p>
    <w:p>
      <w:r>
        <w:t>Identificação e assinatura</w:t>
      </w:r>
    </w:p>
    <w:p>
      <w:r>
        <w:t>14. CONCLUSÃO</w:t>
      </w:r>
    </w:p>
    <w:p>
      <w:r>
        <w:t>66. Em face do exposto, nos limites da análise jurídica e excluídos os aspectos técnicos e o juízo de oportunidade e conveniência do ajuste, caso sejam preenchidos todos os requisitos constantes deste Parecer Referencial, considera-se juridicamente regular a celebração de termo aditivo para redução de jornada de 44 horas para 40 horas semanais e para inclusão do benefício de reembolso-creche, isolada ou cumulativamente, nos contratos de serviços contínuos com regime de dedicação exclusiva de mão de obra, nos termos do art. 3º, III, e art. 4º do Decreto nº 12.174, de 2024 (com redação do Decreto nº 12.926, de 2026), da Instrução Normativa SEGES/MGI nº 190, de 2024 (com alterações da IN SEGES/MGI nº 148, de 2026), e da Instrução Normativa SEGES/MGI nº 147, de 2026 (art. 53, § 4º, da Lei nº 14.133, de 2021).</w:t>
      </w:r>
    </w:p>
    <w:p>
      <w:r>
        <w:t>67.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que a situação concreta se amolda aos termos desta manifestação, conforme modelo presente no item 65.</w:t>
      </w:r>
    </w:p>
    <w:p>
      <w:r>
        <w:t>68. Caso haja dúvida jurídica, o processo deve ser remetido ao órgão de consultoria para exame individualizado, com a formulação dos questionamentos específicos, nos moldes da Portaria PGF nº 526, de 2013.</w:t>
      </w:r>
    </w:p>
    <w:p>
      <w:r>
        <w:t>69. As orientações emanadas dos pareceres jurídicos, ainda que apenas opinativos, devem ser seguidas ou, caso contrário, justificadas no corpo do processo.</w:t>
      </w:r>
    </w:p>
    <w:p>
      <w:r>
        <w:t>70. Por fim, não há determinação legal para fiscalização posterior de cumprimento de recomendações feitas (BPC nº 5).</w:t>
      </w:r>
    </w:p>
    <w:p>
      <w:r>
        <w:t>71. É o parecer, segundo o entendimento consolidado da ELIC, elaborado por meio do Sistema AGU de Inteligência Jurídica (Sapiens), assinado digitalmente, consoante os objetivos de eficiência, padronização e uniformidade na atividade submetida à sua consultoria jurídica (art. 1º, incisos I e II, e art. 3º, inciso II, da Portaria Normativa PGF/AGU nº 73, de 2025).</w:t>
      </w:r>
    </w:p>
    <w:p>
      <w:r>
        <w:t>Salvador, na data da assinatura.</w:t>
      </w:r>
    </w:p>
    <w:p>
      <w:r>
        <w:t>DANIEL DE ANDRADE OLIVEIRA BARRAL</w:t>
      </w:r>
    </w:p>
    <w:p>
      <w:r>
        <w:t>Procurador Federal</w:t>
      </w:r>
    </w:p>
    <w:p>
      <w:r>
        <w:t>ANEXO I</w:t>
      </w:r>
    </w:p>
    <w:p>
      <w:r>
        <w:t>MODELO DE TERMO ADITIVO</w:t>
      </w:r>
    </w:p>
    <w:p>
      <w:r>
        <w:t>REDUÇÃO DE JORNADA DE 44 PARA 40 HORAS SEMANAIS E INCLUSÃO DO BENEFÍCIO DE REEMBOLSO-CRECHE</w:t>
      </w:r>
    </w:p>
    <w:p>
      <w:r>
        <w:t>Nota explicativa: Este modelo incorpora as cláusulas recomendadas no Parecer Referencial nº 00001/2026/GERTEC/ELIC/PGF/AGU. As opções entre colchetes [ ] e as notas explicativas devem ser ajustadas ao caso concreto. Suprimam-se as cláusulas não pertinentes quando o aditivo tratar exclusivamente da redução de jornada ou exclusivamente do reembolso-creche, conforme orientado no item próprio deste modelo.</w:t>
      </w:r>
    </w:p>
    <w:p>
      <w:r>
        <w:t>TERMO ADITIVO AO CONTRATO Nº XX/XXXX, QUE FAZEM ENTRE SI A [Autarquia XXXXX]</w:t>
      </w:r>
    </w:p>
    <w:p>
      <w:r>
        <w:t>OU [Fundação XXXXXX], E ...................................., PARA REDUÇÃO DE JORNADA DE 44 PARA 40 HORAS SEMANAIS E INCLUSÃO DO BENEFÍCIO DE REEMBOLSO-CRECHE.</w:t>
      </w:r>
    </w:p>
    <w:p>
      <w:r>
        <w:t>A [Autarquia XXXXX] OU [Fundação XXXXXX], com sede no(a) [endereço], na cidade de [cidade]/[UF], inscrito(a) no CNPJ sob o nº [CNPJ], neste ato representado(a) pelo(a) [cargo e nome], nomeado(a) pela Portaria nº XX, de [dia] de [mês] de [ano], publicada no DOU de [dia] de [mês] de [ano], portador da Matrícula Funcional nº [nº matrícula], doravante denominado CONTRATANTE, e o(a) [contratado], inscrito(a) no CNPJ/MF sob o nº [CNPJ], sediado(a) na [endereço], na cidade de [cidade]/[UF], doravante designado CONTRATADO, neste ato representado(a) por [nome e função no contratado], conforme [atos constitutivos da empresa] OU [procuração apresentada nos autos], tendo em vista o que consta no Processo nº xxxxx.xxxxxx/xxxx-xx e em observância às disposições da [Lei nº 14.133, de 1º de abril de 2021] OU [Lei nº 8.666, de 21 de junho de 1993], do Decreto nº 12.174, de 11 de setembro de 2024, com a redação do Decreto nº 12.926, de 13 de abril de 2026, da Instrução Normativa SEGES/MGI nº 147, de 13 de abril de 2026, e da Instrução Normativa SEGES/MGI nº 190, de 5 de dezembro de 2024, com as alterações da Instrução Normativa SEGES/MGI nº 148, de 13 de abril de 2026, resolvem celebrar o presente Termo Aditivo ao Contrato nº XX/XXXX, mediante as cláusulas e condições a seguir enunciadas.</w:t>
      </w:r>
    </w:p>
    <w:p>
      <w:r>
        <w:t>CLÁUSULA PRIMEIRA - OBJETO</w:t>
      </w:r>
    </w:p>
    <w:p>
      <w:r>
        <w:t>1.1. O presente termo aditivo tem por objeto, em relação ao Contrato nº XX/XXXX, cumulativamente ou isoladamente, conforme assinalado:</w:t>
      </w:r>
    </w:p>
    <w:p>
      <w:r>
        <w:t>( ) a redução da jornada semanal de trabalho de 44 (quarenta e quatro) para 40 (quarenta) horas, sem prejuízo da remuneração, com fundamento no art. 4º do Decreto nº 12.174, de 11 de setembro de 2024, e na Instrução Normativa SEGES/MGI nº 190, de 5 de dezembro de 2024, com as alterações da Instrução Normativa SEGES/MGI nº 148, de 13 de abril de 2026;</w:t>
      </w:r>
    </w:p>
    <w:p>
      <w:r>
        <w:t>( ) a inclusão do benefício de reembolso-creche, com fundamento no art. 3º, inciso III, do Decreto nº 12.174, de 11 de setembro de 2024, incluído pelo Decreto nº 12.926, de 13 de abril de 2026, e na Instrução Normativa SEGES/MGI nº 147, de 13 de abril de 2026.</w:t>
      </w:r>
    </w:p>
    <w:p>
      <w:r>
        <w:t>1.2. A redução de jornada prevista na subcláusula 1.1 aplica-se aos seguintes serviços e ocupações alocados na execução contratual, classificados conforme a Classificação Brasileira de Ocupações e o Anexo I da Instrução Normativa SEGES/MGI nº 190, de 2024, com a redação da Instrução Normativa SEGES/MGI nº 148, de 2026:</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Serviço</w:t>
            </w:r>
          </w:p>
        </w:tc>
        <w:tc>
          <w:tcPr>
            <w:tcW w:type="dxa" w:w="2160"/>
          </w:tcPr>
          <w:p>
            <w:r>
              <w:t>Ocupação / CBO</w:t>
            </w:r>
          </w:p>
        </w:tc>
        <w:tc>
          <w:tcPr>
            <w:tcW w:type="dxa" w:w="2160"/>
          </w:tcPr>
          <w:p>
            <w:r>
              <w:t>Jornada atual</w:t>
            </w:r>
          </w:p>
        </w:tc>
        <w:tc>
          <w:tcPr>
            <w:tcW w:type="dxa" w:w="2160"/>
          </w:tcPr>
          <w:p>
            <w:r>
              <w:t>Nova jornada</w:t>
            </w:r>
          </w:p>
        </w:tc>
      </w:tr>
      <w:tr>
        <w:tc>
          <w:tcPr>
            <w:tcW w:type="dxa" w:w="2160"/>
          </w:tcPr>
          <w:p>
            <w:r/>
          </w:p>
        </w:tc>
        <w:tc>
          <w:tcPr>
            <w:tcW w:type="dxa" w:w="2160"/>
          </w:tcPr>
          <w:p>
            <w:r/>
          </w:p>
        </w:tc>
        <w:tc>
          <w:tcPr>
            <w:tcW w:type="dxa" w:w="2160"/>
          </w:tcPr>
          <w:p>
            <w:r>
              <w:t>44 h/semana</w:t>
            </w:r>
          </w:p>
        </w:tc>
        <w:tc>
          <w:tcPr>
            <w:tcW w:type="dxa" w:w="2160"/>
          </w:tcPr>
          <w:p>
            <w:r>
              <w:t>40 h/semana</w:t>
            </w:r>
          </w:p>
        </w:tc>
      </w:tr>
      <w:tr>
        <w:tc>
          <w:tcPr>
            <w:tcW w:type="dxa" w:w="2160"/>
          </w:tcPr>
          <w:p>
            <w:r/>
          </w:p>
        </w:tc>
        <w:tc>
          <w:tcPr>
            <w:tcW w:type="dxa" w:w="2160"/>
          </w:tcPr>
          <w:p>
            <w:r/>
          </w:p>
        </w:tc>
        <w:tc>
          <w:tcPr>
            <w:tcW w:type="dxa" w:w="2160"/>
          </w:tcPr>
          <w:p>
            <w:r>
              <w:t>44 h/semana</w:t>
            </w:r>
          </w:p>
        </w:tc>
        <w:tc>
          <w:tcPr>
            <w:tcW w:type="dxa" w:w="2160"/>
          </w:tcPr>
          <w:p>
            <w:r>
              <w:t>40 h/semana</w:t>
            </w:r>
          </w:p>
        </w:tc>
      </w:tr>
    </w:tbl>
    <w:p/>
    <w:p>
      <w:r>
        <w:t>Serviço</w:t>
      </w:r>
    </w:p>
    <w:p>
      <w:r>
        <w:t>Ocupação / CBO</w:t>
      </w:r>
    </w:p>
    <w:p>
      <w:r>
        <w:t>Jornada atual</w:t>
      </w:r>
    </w:p>
    <w:p>
      <w:r>
        <w:t>Nova jornada</w:t>
      </w:r>
    </w:p>
    <w:p>
      <w:r>
        <w:t>44 h/semana</w:t>
      </w:r>
    </w:p>
    <w:p>
      <w:r>
        <w:t>40 h/semana</w:t>
      </w:r>
    </w:p>
    <w:p>
      <w:r>
        <w:t>44 h/semana</w:t>
      </w:r>
    </w:p>
    <w:p>
      <w:r>
        <w:t>40 h/semana</w:t>
      </w:r>
    </w:p>
    <w:p>
      <w:r>
        <w:t>1.3. A redução da jornada alcança a totalidade dos trabalhadores que prestem os serviços descritos no item 1.2, inclusive os que exercem a função de encarregados gerais desses serviços, nos termos do art. 2º, §§ 1º a 3º, da Instrução Normativa SEGES/MGI nº 190, de 2024, com a redação da Instrução Normativa SEGES/MGI nº 148, de 2026.</w:t>
      </w:r>
    </w:p>
    <w:p>
      <w:r>
        <w:t>1.4. A inclusão do reembolso-creche observa os seguintes parâmetros:</w:t>
      </w:r>
    </w:p>
    <w:p>
      <w:r>
        <w:t>1.4.1. Beneficiários: trabalhadora ou trabalhador alocado à execução do contrato que possua filho, enteado ou criança sob guarda judicial com até 5 (cinco) anos e 11 (onze) meses de idade.</w:t>
      </w:r>
    </w:p>
    <w:p>
      <w:r>
        <w:t>1.4.2. Valor unitário: R$ 526,64 (quinhentos e vinte e seis reais e sessenta e quatro centavos) por dependente, por mês, nos termos do Anexo I da Instrução Normativa SEGES/MGI nº 147, de 2026.</w:t>
      </w:r>
    </w:p>
    <w:p>
      <w:r>
        <w:t>1.4.3. Percentual de incidência adotado na planilha de custos: [20% (vinte por cento)] OU [XX% (xxxxxxx por cento), conforme demonstração analítica constante da memória de cálculo anexa, nos termos do art. 6º, §§ 1º e 2º, da Instrução Normativa SEGES/MGI nº 147, de 2026].</w:t>
      </w:r>
    </w:p>
    <w:p>
      <w:r>
        <w:t>1.4.4. Número de postos alcançados e de beneficiários potenciais: [indicar o total de postos e a quantidade estimada de beneficiários resultante do percentual adotado].</w:t>
      </w:r>
    </w:p>
    <w:p>
      <w:r>
        <w:t>1.4.5. Convenção ou acordo coletivo aplicável e regra de interação: assinale uma das hipóteses previstas nos arts. 3º e 4º da Instrução Normativa SEGES/MGI nº 147, de 2026:</w:t>
      </w:r>
    </w:p>
    <w:p>
      <w:r>
        <w:t>( ) a convenção ou acordo coletivo não prevê benefício de natureza congênere, aplicando-se integralmente o reembolso-creche no valor do Anexo I;</w:t>
      </w:r>
    </w:p>
    <w:p>
      <w:r>
        <w:t>( ) a convenção ou acordo coletivo prevê benefício congênere em valor inferior a R$ 526,64, cabendo ao contrato a complementação até aquele valor;</w:t>
      </w:r>
    </w:p>
    <w:p>
      <w:r>
        <w:t>( ) a convenção ou acordo coletivo prevê benefício congênere em valor igual ou superior a R$ 526,64, prevalecendo integralmente a norma coletiva, nos termos do art. 4º da Instrução Normativa SEGES/MGI nº 147, de 2026.</w:t>
      </w:r>
    </w:p>
    <w:p>
      <w:r>
        <w:t>1.4.6. Precedência da mãe: a ativação e a manutenção do benefício observam a precedência da mãe, na forma do art. 18 da Instrução Normativa SEGES/MGI nº 147, de 2026, e, nas hipóteses do art. 19, a ordem cronológica de ativação no sistema Contratos.gov.br.</w:t>
      </w:r>
    </w:p>
    <w:p>
      <w:r>
        <w:t>Nota explicativa: Preencham-se as subcláusulas de acordo com o objeto efetivamente pactuado. Caso o aditivo trate exclusivamente da redução de jornada, suprimam-se as subcláusulas 1.4 e suas subdivisões. Caso trate exclusivamente do reembolso-creche, suprimam-se as subcláusulas 1.2 e 1.3.</w:t>
      </w:r>
    </w:p>
    <w:p>
      <w:r>
        <w:t>CLÁUSULA SEGUNDA - PREÇO</w:t>
      </w:r>
    </w:p>
    <w:p>
      <w:r>
        <w:t>2.1 Com a(s) alteração(ões) de que trata a Cláusula Primeira, o valor mensal da contratação passará a ser R$ X.XXX,XX (xxxxxxxxx reais), perfazendo o valor anual de R$ X.XXX,XX (xxxxxxxxx reais), conforme memória de cálculo e planilha de custos e formação de preços que acompanham este instrumento, organizadas na tabela a seguir:</w:t>
      </w:r>
    </w:p>
    <w:tbl>
      <w:tblPr>
        <w:tblW w:type="auto" w:w="0"/>
        <w:tblLook w:firstColumn="1" w:firstRow="1" w:lastColumn="0" w:lastRow="0" w:noHBand="0" w:noVBand="1" w:val="04A0"/>
      </w:tblPr>
      <w:tblGrid>
        <w:gridCol w:w="1728"/>
        <w:gridCol w:w="1728"/>
        <w:gridCol w:w="1728"/>
        <w:gridCol w:w="1728"/>
        <w:gridCol w:w="1728"/>
      </w:tblGrid>
      <w:tr>
        <w:tc>
          <w:tcPr>
            <w:tcW w:type="dxa" w:w="1728"/>
          </w:tcPr>
          <w:p/>
        </w:tc>
        <w:tc>
          <w:tcPr>
            <w:tcW w:type="dxa" w:w="1728"/>
          </w:tcPr>
          <w:p/>
        </w:tc>
        <w:tc>
          <w:tcPr>
            <w:tcW w:type="dxa" w:w="1728"/>
          </w:tcPr>
          <w:p/>
        </w:tc>
        <w:tc>
          <w:tcPr>
            <w:tcW w:type="dxa" w:w="1728"/>
          </w:tcPr>
          <w:p/>
        </w:tc>
        <w:tc>
          <w:tcPr>
            <w:tcW w:type="dxa" w:w="1728"/>
          </w:tcPr>
          <w:p/>
        </w:tc>
      </w:tr>
      <w:tr>
        <w:tc>
          <w:tcPr>
            <w:tcW w:type="dxa" w:w="1728"/>
          </w:tcPr>
          <w:p>
            <w:r>
              <w:t>Item / Posto</w:t>
            </w:r>
          </w:p>
        </w:tc>
        <w:tc>
          <w:tcPr>
            <w:tcW w:type="dxa" w:w="1728"/>
          </w:tcPr>
          <w:p>
            <w:r>
              <w:t>Descrição</w:t>
            </w:r>
          </w:p>
        </w:tc>
        <w:tc>
          <w:tcPr>
            <w:tcW w:type="dxa" w:w="1728"/>
          </w:tcPr>
          <w:p>
            <w:r>
              <w:t>Valor unitário anterior</w:t>
            </w:r>
          </w:p>
        </w:tc>
        <w:tc>
          <w:tcPr>
            <w:tcW w:type="dxa" w:w="1728"/>
          </w:tcPr>
          <w:p>
            <w:r>
              <w:t>Valor unitário após o aditamento</w:t>
            </w:r>
          </w:p>
        </w:tc>
        <w:tc>
          <w:tcPr>
            <w:tcW w:type="dxa" w:w="1728"/>
          </w:tcPr>
          <w:p>
            <w:r>
              <w:t>Valor total</w:t>
            </w:r>
          </w:p>
        </w:tc>
      </w:tr>
      <w:tr>
        <w:tc>
          <w:tcPr>
            <w:tcW w:type="dxa" w:w="1728"/>
          </w:tcPr>
          <w:p>
            <w:r/>
          </w:p>
        </w:tc>
        <w:tc>
          <w:tcPr>
            <w:tcW w:type="dxa" w:w="1728"/>
          </w:tcPr>
          <w:p>
            <w:r/>
          </w:p>
        </w:tc>
        <w:tc>
          <w:tcPr>
            <w:tcW w:type="dxa" w:w="1728"/>
          </w:tcPr>
          <w:p>
            <w:r/>
          </w:p>
        </w:tc>
        <w:tc>
          <w:tcPr>
            <w:tcW w:type="dxa" w:w="1728"/>
          </w:tcPr>
          <w:p>
            <w:r/>
          </w:p>
        </w:tc>
        <w:tc>
          <w:tcPr>
            <w:tcW w:type="dxa" w:w="1728"/>
          </w:tcPr>
          <w:p>
            <w:r/>
          </w:p>
        </w:tc>
      </w:tr>
      <w:tr>
        <w:tc>
          <w:tcPr>
            <w:tcW w:type="dxa" w:w="1728"/>
          </w:tcPr>
          <w:p>
            <w:r/>
          </w:p>
        </w:tc>
        <w:tc>
          <w:tcPr>
            <w:tcW w:type="dxa" w:w="1728"/>
          </w:tcPr>
          <w:p>
            <w:r/>
          </w:p>
        </w:tc>
        <w:tc>
          <w:tcPr>
            <w:tcW w:type="dxa" w:w="1728"/>
          </w:tcPr>
          <w:p>
            <w:r/>
          </w:p>
        </w:tc>
        <w:tc>
          <w:tcPr>
            <w:tcW w:type="dxa" w:w="1728"/>
          </w:tcPr>
          <w:p>
            <w:r/>
          </w:p>
        </w:tc>
        <w:tc>
          <w:tcPr>
            <w:tcW w:type="dxa" w:w="1728"/>
          </w:tcPr>
          <w:p>
            <w:r/>
          </w:p>
        </w:tc>
      </w:tr>
      <w:tr>
        <w:tc>
          <w:tcPr>
            <w:tcW w:type="dxa" w:w="1728"/>
          </w:tcPr>
          <w:p>
            <w:r/>
          </w:p>
        </w:tc>
        <w:tc>
          <w:tcPr>
            <w:tcW w:type="dxa" w:w="1728"/>
          </w:tcPr>
          <w:p>
            <w:r/>
          </w:p>
        </w:tc>
        <w:tc>
          <w:tcPr>
            <w:tcW w:type="dxa" w:w="1728"/>
          </w:tcPr>
          <w:p>
            <w:r/>
          </w:p>
        </w:tc>
        <w:tc>
          <w:tcPr>
            <w:tcW w:type="dxa" w:w="1728"/>
          </w:tcPr>
          <w:p>
            <w:r/>
          </w:p>
        </w:tc>
        <w:tc>
          <w:tcPr>
            <w:tcW w:type="dxa" w:w="1728"/>
          </w:tcPr>
          <w:p>
            <w:r/>
          </w:p>
        </w:tc>
      </w:tr>
      <w:tr>
        <w:tc>
          <w:tcPr>
            <w:tcW w:type="dxa" w:w="1728"/>
          </w:tcPr>
          <w:p>
            <w:r>
              <w:t>TOTAL</w:t>
            </w:r>
          </w:p>
        </w:tc>
        <w:tc>
          <w:tcPr>
            <w:tcW w:type="dxa" w:w="1728"/>
          </w:tcPr>
          <w:p>
            <w:r/>
          </w:p>
        </w:tc>
        <w:tc>
          <w:tcPr>
            <w:tcW w:type="dxa" w:w="1728"/>
          </w:tcPr>
          <w:p>
            <w:r/>
          </w:p>
        </w:tc>
        <w:tc>
          <w:tcPr>
            <w:tcW w:type="dxa" w:w="1728"/>
          </w:tcPr>
          <w:p>
            <w:r/>
          </w:p>
        </w:tc>
        <w:tc>
          <w:tcPr>
            <w:tcW w:type="dxa" w:w="1728"/>
          </w:tcPr>
          <w:p>
            <w:r/>
          </w:p>
        </w:tc>
      </w:tr>
    </w:tbl>
    <w:p/>
    <w:p>
      <w:r>
        <w:t>Item / Posto</w:t>
      </w:r>
    </w:p>
    <w:p>
      <w:r>
        <w:t>Descrição</w:t>
      </w:r>
    </w:p>
    <w:p>
      <w:r>
        <w:t>Valor unitário</w:t>
      </w:r>
    </w:p>
    <w:p>
      <w:r>
        <w:t>anterior</w:t>
      </w:r>
    </w:p>
    <w:p>
      <w:r>
        <w:t>Valor unitário após o</w:t>
      </w:r>
    </w:p>
    <w:p>
      <w:r>
        <w:t>aditamento</w:t>
      </w:r>
    </w:p>
    <w:p>
      <w:r>
        <w:t>Valor total</w:t>
      </w:r>
    </w:p>
    <w:p>
      <w:r>
        <w:t>TOTAL</w:t>
      </w:r>
    </w:p>
    <w:p>
      <w:r>
        <w:t>2.2 A redução de jornada é celebrada sem prejuízo da remuneração do trabalhador, nos termos do art. 4º do Decreto nº 12.174, de 2024. Preservados o salário, os encargos sociais incidentes sobre a remuneração e os benefícios calculados por dia trabalhado, o preço do posto mensal permanece inalterado, registrando-se apenas o novo custo unitário hora-homem em memória de cálculo anexa. Caso o contrato seja precificado por hora-homem ou a planilha contenha itens calculados diretamente sobre a jornada, tais como hora extra rotineira, adicional de hora de intervalo ou adicional noturno proporcional às horas no período noturno, as linhas correspondentes serão recompostas em memória de cálculo anexa, preservado o valor mensal total do contrato.</w:t>
      </w:r>
    </w:p>
    <w:p>
      <w:r>
        <w:t>2.3 A linha correspondente ao reembolso-creche é composta pelo valor unitário mensal de R$ 526,64 multiplicado pelo número de beneficiários potenciais resultante do percentual de incidência adotado, conforme subcláusula 1.4.3, nos termos do Anexo II da Instrução Normativa SEGES/MGI nº 147, de 2026.</w:t>
      </w:r>
    </w:p>
    <w:p>
      <w:r>
        <w:t>2.4 O pagamento do reembolso-creche é condicionado à comprovação mensal, pela CONTRATADA, do efetivo desembolso em favor dos trabalhadores beneficiários, mediante nota fiscal, recibo, declaração de quitação ou documento equivalente emitido por instituição de educação infantil ou por prestador de serviço de natureza congênere, nos termos do art. 11, inciso II, da Instrução Normativa SEGES/MGI nº 147, de 2026.</w:t>
      </w:r>
    </w:p>
    <w:p>
      <w:r>
        <w:t>2.5 É vedada à CONTRATADA a apropriação de eventual saldo não utilizado dos valores provisionados a título de reembolso-creche, nos termos do art. 15, § 2º, da Instrução Normativa SEGES/MGI nº 147, de 2026.</w:t>
      </w:r>
    </w:p>
    <w:p>
      <w:r>
        <w:t>2.6 Caso o valor provisionado no exercício venha a se mostrar insuficiente para a cobertura contratual efetiva, o CONTRATANTE procederá à alteração dos valores, nos termos do art. 136, incisos II e IV, da Lei nº 14.133, de 2021, observado o art. 15, § 1º, da Instrução Normativa SEGES/MGI nº 147, de 2026.</w:t>
      </w:r>
    </w:p>
    <w:p>
      <w:r>
        <w:t>2.7 Os valores previstos neste termo aditivo são estimativos, dependendo os pagamentos devidos à CONTRATADA dos quantitativos e desembolsos efetivamente verificados no período.</w:t>
      </w:r>
    </w:p>
    <w:p>
      <w:r>
        <w:t>Nota explicativa: Na hipótese de redução líquida do valor contratual por supressão compensatória decorrente da redução da jornada, ajuste-se o texto para refletir a supressão, mantendo a lógica de valores antes e depois do aditamento. Sempre que não houver repercussão financeira, registre-se expressamente essa circunstância em subcláusula específica.</w:t>
      </w:r>
    </w:p>
    <w:p>
      <w:r>
        <w:t>CLÁUSULA TERCEIRA - DOTAÇÃO ORÇAMENTÁRIA</w:t>
      </w:r>
    </w:p>
    <w:p>
      <w:r>
        <w:t>3.1. As despesas decorrentes do presente termo aditivo correrão à conta de recursos específicos consignados no Orçamento Geral da União deste exercício, na dotação abaixo discriminada:</w:t>
      </w:r>
    </w:p>
    <w:p>
      <w:r>
        <w:t>Gestão/unidade: [...];</w:t>
      </w:r>
    </w:p>
    <w:p>
      <w:r>
        <w:t>Fonte de recursos: [...]; Programa de trabalho: [...]; Elemento de despesa: [...]; Plano interno: [...]; e</w:t>
      </w:r>
    </w:p>
    <w:p>
      <w:r>
        <w:t>Nota de empenho: [...].</w:t>
      </w:r>
    </w:p>
    <w:p>
      <w:r>
        <w:t>3.2. A dotação relativa aos exercícios financeiros subsequentes será indicada após a aprovação da Lei Orçamentária respectiva e a liberação dos créditos correspondentes, mediante apostilamento.</w:t>
      </w:r>
    </w:p>
    <w:p>
      <w:r>
        <w:t>Nota explicativa: Quando o aditivo não acarretar acréscimo de valor capaz de repercutir na previsão orçamentária original, suprima-se esta cláusula e registre-se a circunstância em subcláusula específica, conforme orientado na Cláusula Nona deste modelo.</w:t>
      </w:r>
    </w:p>
    <w:p>
      <w:r>
        <w:t>CLÁUSULA QUARTA - GARANTIA DE EXECUÇÃO</w:t>
      </w:r>
    </w:p>
    <w:p>
      <w:r>
        <w:t>4.1. A CONTRATADA deverá adequar a garantia contratual anteriormente prestada ao novo valor global do contrato, mantida a proporção de XX% (xxxxxxx por cento) originalmente pactuada, no prazo de XX (xxxxxxx) dias contados da assinatura deste instrumento, prorrogáveis por igual período, a critério do CONTRATANTE, nos termos [do art. 96, combinado com o art. 98, da Lei nº 14.133, de 2021] OU [do art. 56 da Lei nº 8.666, de 1993].</w:t>
      </w:r>
    </w:p>
    <w:p>
      <w:r>
        <w:t>4.2. Havendo supressão do valor contratual em razão da redução de jornada sem repactuação compensatória, fica facultada à CONTRATADA a manutenção da garantia contratual já prestada.</w:t>
      </w:r>
    </w:p>
    <w:p>
      <w:r>
        <w:t>Nota explicativa: Quando o aditivo não acarretar acréscimo de valor capaz de repercutir na proporção da garantia,</w:t>
      </w:r>
    </w:p>
    <w:p>
      <w:r>
        <w:t>suprima-se esta cláusula e registre-se a circunstância em subcláusula específica da Cláusula Nona.</w:t>
      </w:r>
    </w:p>
    <w:p>
      <w:r>
        <w:t>CLÁUSULA QUINTA - OPERACIONALIZAÇÃO DO REEMBOLSO-CRECHE</w:t>
      </w:r>
    </w:p>
    <w:p>
      <w:r>
        <w:t>5.1. A CONTRATADA obriga-se a dispor e manter atualizada, em relação a cada trabalhadora ou trabalhador beneficiário, a documentação exigida pelos arts. 7º e 8º da Instrução Normativa SEGES/MGI nº 147, de 2026, conforme se trate de benefício fundado no Decreto nº 12.174, de 2024, ou em convenção coletiva, acordo coletivo de trabalho ou sentença normativa.</w:t>
      </w:r>
    </w:p>
    <w:p>
      <w:r>
        <w:t>5.2. A CONTRATADA registrará e manterá atualizadas, no sistema Contratos.gov.br, as informações relativas aos trabalhadores beneficiários e respectivos dependentes, na forma do art. 9º da Instrução Normativa SEGES/MGI nº 147, de 2026, produzindo o registro os efeitos de ativação do benefício. Enquanto não disponibilizada a evolução do sistema de que trata o art. 23 da mesma Instrução Normativa, o registro será realizado pela fiscalização administrativa a partir da documentação remetida pela CONTRATADA.</w:t>
      </w:r>
    </w:p>
    <w:p>
      <w:r>
        <w:t>5.3. Como condição de ativação do benefício, o empregado firmará perante a CONTRATADA declaração acerca da eventual percepção de benefício da mesma natureza, por outra fonte, pública ou privada, em nome do mesmo dependente. A CONTRATADA arquivará o documento e, no prazo fixado pela fiscalização, remeter-lhe-á cópia, juntamente com os demais elementos exigidos para a habilitação do dependente. A declaração será atualizada anualmente ou a cada alteração de estado civil ou de guarda.</w:t>
      </w:r>
    </w:p>
    <w:p>
      <w:r>
        <w:t>5.4. A CONTRATADA apresentará mensalmente à fiscalização administrativa os relatórios previstos no art. 13 da Instrução Normativa SEGES/MGI nº 147, de 2026, inclusive o relatório mensal extraído do sistema Contratos.gov.br.</w:t>
      </w:r>
    </w:p>
    <w:p>
      <w:r>
        <w:t>5.5. A fiscalização do contrato verificará, semestralmente, por amostragem, a regularidade, veracidade e consistência das informações prestadas, abrangendo, por beneficiário, ao menos um documento comprobatório por semestre, nos termos do art. 16, §§ 1º a 3º, da Instrução Normativa SEGES/MGI nº 147, de 2026.</w:t>
      </w:r>
    </w:p>
    <w:p>
      <w:r>
        <w:t>5.6. A insuficiência ou irregularidade da documentação comprobatória, não sanada no prazo fixado pela fiscalização, ensejará a glosa dos valores ainda não quitados e a restituição dos valores já pagos, nos termos do art. 12 da Instrução Normativa SEGES/MGI nº 147, de 2026.</w:t>
      </w:r>
    </w:p>
    <w:p>
      <w:r>
        <w:t>5.7. A CONTRATADA declara ciência de que o pagamento do reembolso-creche ao trabalhador beneficiário que apresentar a documentação exigida é devido independentemente do efetivo recebimento do valor pelo CONTRATANTE no mês de referência, quando houver atraso no repasse.</w:t>
      </w:r>
    </w:p>
    <w:p>
      <w:r>
        <w:t>5.8. As partes observarão, no tratamento dos dados pessoais dos trabalhadores e dos dependentes, inclusive menores, a Lei nº 13.709, de 14 de agosto de 2018, assegurando a minimização da coleta, a vinculação à finalidade específica de ativação, comprovação e fiscalização do benefício, e a segurança das bases de dados do sistema Contratos.gov.br e dos autos do processo.</w:t>
      </w:r>
    </w:p>
    <w:p>
      <w:r>
        <w:t>Nota explicativa: Esta cláusula aplica-se quando o aditivo contemplar o reembolso-creche.</w:t>
      </w:r>
    </w:p>
    <w:p>
      <w:r>
        <w:t>No caso de aditivo exclusivamente relativo à redução de jornada, suprima-se.</w:t>
      </w:r>
    </w:p>
    <w:p>
      <w:r>
        <w:t>CLÁUSULA SEXTA - REDUÇÃO DE JORNADA: VEDAÇÕES E MODELO DE EXECUÇÃO</w:t>
      </w:r>
    </w:p>
    <w:p>
      <w:r>
        <w:t>6.1. A redução de jornada observará o modelo de execução do objeto, com as eventuais adaptações de rotina e de período de disponibilização do serviço necessárias à sua implementação, vedado o aumento do intervalo intrajornada dos trabalhadores alocados na contratação, nos termos do art. 4º, §§ 1º e 2º, da Instrução Normativa SEGES/MGI nº 190, de 2024.</w:t>
      </w:r>
    </w:p>
    <w:p>
      <w:r>
        <w:t>6.2. É vedada à CONTRATADA a utilização do saldo de horas decorrente da redução de jornada para a realização de outras atividades pelos empregados alocados em regime de dedicação exclusiva de mão de obra, inclusive mediante compensação, banco de horas ou realocação de força de trabalho, em observância ao art. 4º, § 3º, da Instrução Normativa SEGES/MGI nº 190, de 2024, preservando-se o efeito humanitário da medida.</w:t>
      </w:r>
    </w:p>
    <w:p>
      <w:r>
        <w:t>Nota explicativa: Esta cláusula aplica-se quando o aditivo contemplar a redução de jornada.</w:t>
      </w:r>
    </w:p>
    <w:p>
      <w:r>
        <w:t>No caso de aditivo exclusivamente relativo ao reembolso-creche, suprima-se.</w:t>
      </w:r>
    </w:p>
    <w:p>
      <w:r>
        <w:t>CLÁUSULA SÉTIMA - PRODUÇÃO DE EFEITOS</w:t>
      </w:r>
    </w:p>
    <w:p>
      <w:r>
        <w:t>7.1 O presente termo aditivo produz efeitos, quanto à redução de jornada, a partir [da data de sua assinatura] OU [de xx/xx/xxxx], observada a faixa de implementação de 1º de maio a 31 de dezembro de 2026 prevista no Anexo I da Instrução Normativa SEGES/MGI nº 190, de 2024, com a redação da Instrução Normativa SEGES/MGI nº 148, de 2026.</w:t>
      </w:r>
    </w:p>
    <w:p>
      <w:r>
        <w:t>7.2 Quanto à inclusão do reembolso-creche, o termo aditivo produz efeitos a partir [da data de sua assinatura] OU [do primeiro dia do mês de sua celebração, em caráter retroativo, nos termos do art. 25, § 1º, da Instrução Normativa SEGES/MGI nº 147, de 2026, ficando como data inicial da geração de efeitos financeiros o dia xx/xx/xxxx e como prazo limite para a apresentação dos primeiros documentos comprobatórios pela CONTRATADA o dia xx/xx/xxxx].</w:t>
      </w:r>
    </w:p>
    <w:p>
      <w:r>
        <w:t>7.3 A ativação individual do benefício, em relação a cada dependente, não produz efeitos retroativos, operando a partir do registro da habilitação no sistema Contratos.gov.br, nos termos do art. 3º, § 4º, da Instrução Normativa SEGES/MGI nº 147, de 2026.</w:t>
      </w:r>
    </w:p>
    <w:p>
      <w:r>
        <w:t>Nota explicativa: Quando adotada a opção de retroatividade quanto ao reembolso-creche, registre-se nos autos a respectiva motivação, na forma indicada nas subcláusulas seguintes ou em despacho autônomo.</w:t>
      </w:r>
    </w:p>
    <w:p>
      <w:r>
        <w:t>CLÁUSULA OITAVA - RATIFICAÇÃO</w:t>
      </w:r>
    </w:p>
    <w:p>
      <w:r>
        <w:t>8.1 Ficam mantidas e ratificadas as demais cláusulas e condições do contrato originário, no que não contrariem o presente termo aditivo.</w:t>
      </w:r>
    </w:p>
    <w:p>
      <w:r>
        <w:t>CLÁUSULA NONA - PUBLICAÇÃO</w:t>
      </w:r>
    </w:p>
    <w:p>
      <w:r>
        <w:t>9.1 Nos contratos regidos pela Lei nº 14.133, de 2021, incumbirá ao CONTRATANTE a divulgação do presente instrumento no Portal Nacional de Contratações Públicas (PNCP), nos termos do art. 94 da Lei nº 14.133, de 2021, e no respectivo sítio oficial na Internet, nos termos do art. 91, caput, da mesma Lei, e do art. 8º, § 2º, da Lei nº 12.527, de 18 de novembro de 2011, combinado com o art. 7º, § 3º, inciso V, do Decreto nº 7.724, de 16 de maio de 2012.</w:t>
      </w:r>
    </w:p>
    <w:p>
      <w:r>
        <w:t>9.2 Nos contratos regidos pela Lei nº 8.666, de 1993, incumbirá ao CONTRATANTE a publicação de extrato do presente instrumento no Diário Oficial da União, nos termos do art. 61, parágrafo único, da Lei nº 8.666, de 1993, além da divulgação no respectivo sítio oficial na Internet, observado o art. 8º, § 2º, da Lei nº 12.527, de 2011.</w:t>
      </w:r>
    </w:p>
    <w:p>
      <w:r>
        <w:t>Nota explicativa: Mantenha-se apenas o item correspondente ao regime jurídico do contrato aditado, suprimindo-se o outro.</w:t>
      </w:r>
    </w:p>
    <w:p>
      <w:r>
        <w:t>E, por estarem de pleno acordo com as cláusulas deste instrumento, as partes o assinam por meio eletrônico, para um só efeito, na data da assinatura.</w:t>
      </w:r>
    </w:p>
    <w:p>
      <w:r>
        <w:t>[Local], [dia] de [mês] de [ano].</w:t>
      </w:r>
    </w:p>
    <w:p>
      <w:r>
        <w:t>Representante legal do CONTRATANTE</w:t>
      </w:r>
    </w:p>
    <w:p>
      <w:r>
        <w:t>Representante legal do CONTRATADO</w:t>
      </w:r>
    </w:p>
    <w:p>
      <w:r>
        <w:t>TESTEMUNHAS:</w:t>
      </w:r>
    </w:p>
    <w:p>
      <w:r>
        <w:t>Nome:</w:t>
      </w:r>
    </w:p>
    <w:p>
      <w:r>
        <w:t>CPF:</w:t>
      </w:r>
    </w:p>
    <w:p>
      <w:r>
        <w:t>Nome:</w:t>
      </w:r>
    </w:p>
    <w:p>
      <w:r>
        <w:t>CPF:</w:t>
      </w:r>
    </w:p>
    <w:p>
      <w:pPr>
        <w:pStyle w:val="Heading2"/>
      </w:pPr>
      <w:r>
        <w:t>PARECER DE ORIENTAÇÃO Nº 11/2026/SUSEP</w:t>
      </w:r>
    </w:p>
    <w:p>
      <w:pPr>
        <w:pStyle w:val="ListBullet"/>
      </w:pPr>
      <w:r>
        <w:t>Ementa: Manifestação jurídica referencial. contrato administrativo de prestação de serviços contínuos com regime de dedicação exclusiva de mão de obra. termo aditivo. reequilíbrio econômico-financeiro. reoneração gradual da folha de pagamento. alterações da lei nº 12.546, de 14 de dezembro de 2011, pela lei nº 14.973, de 16 de setembro de 2024. fato do príncipe. aplicação aos contratos regidos pela lei nº 14.133, de 2021, e pela lei nº 8.666, de 1993.</w:t>
      </w:r>
    </w:p>
    <w:p>
      <w:r>
        <w:t>Categoria: Ministério da Fazenda/Superintendência de Seguros Privados</w:t>
      </w:r>
    </w:p>
    <w:p>
      <w:r>
        <w:t>Página: 41</w:t>
      </w:r>
    </w:p>
    <w:p/>
    <w:p>
      <w:r>
        <w:t>PARECER DE ORIENTAÇÃO Nº 11/2026/SUSEP</w:t>
      </w:r>
    </w:p>
    <w:p>
      <w:r>
        <w:t>Manifestação jurídica referencial. contrato administrativo de prestação de serviços contínuos com regime de dedicação exclusiva de mão de obra. termo aditivo. reequilíbrio econômico-financeiro. reoneração gradual da folha de pagamento. alterações da lei nº 12.546, de 14 de dezembro de 2011, pela lei nº 14.973, de 16 de setembro de 2024. fato do príncipe. aplicação aos contratos regidos pela lei nº 14.133, de 2021, e pela lei nº 8.666, de 1993.</w:t>
      </w:r>
    </w:p>
    <w:p>
      <w:r>
        <w:t>O Conselho Diretor da Superintendência de Seguros Privados - Susep, em reunião ordinária eletrônica realizada em 15 de julho de 2025, resolveu adotar o PARECER REFERENCIAL Nº. 00002/2026/GERTEC/ELIC/PGF/AGU,em anexo, como Parecer de Orientação para utilização pela Susep no âmbito dos contratos e licitações.</w:t>
      </w:r>
    </w:p>
    <w:p>
      <w:r>
        <w:t>ALESSANDRO SERAFIN OCTAVIANI</w:t>
      </w:r>
    </w:p>
    <w:p>
      <w:r>
        <w:t>Presidente do Conselho</w:t>
      </w:r>
    </w:p>
    <w:p>
      <w:r>
        <w:t>ANEXO</w:t>
      </w:r>
    </w:p>
    <w:p>
      <w:r>
        <w:t>PARECER REFERENCIAL Nº. 00002/2026/GERTEC/ELIC/PGF/AGU</w:t>
      </w:r>
    </w:p>
    <w:p>
      <w:r>
        <w:t>NUP: 00407.059564/2025-42</w:t>
      </w:r>
    </w:p>
    <w:p>
      <w:r>
        <w:t>INTERESSADOS: EQUIPE DE LICITAÇÃO E CONTRATO - ELIC</w:t>
      </w:r>
    </w:p>
    <w:p>
      <w:r>
        <w:t>ASSUNTOS:LICITAÇÕES</w:t>
      </w:r>
    </w:p>
    <w:p>
      <w:r>
        <w:t>EMENTA: MANIFESTAÇÃO JURÍDICA REFERENCIAL. CONTRATO ADMINISTRATIVO DE PRESTAÇÃO DE SERVIÇOS CONTÍNUOS COM REGIME DE DEDICAÇÃO EXCLUSIVA DE MÃO DE OBRA. TERMO ADITIVO. REEQUILÍBRIO ECONÔMICO-FINANCEIRO. REONERAÇÃO GRADUAL DA FOLHA DE PAGAMENTO. ALTERAÇÕES DA LEI Nº 12.546, DE 14 DE DEZEMBRO DE 2011, PELA LEI Nº 14.973, DE 16 DE SETEMBRO DE 2024. FATO DO PRÍNCIPE. APLICAÇÃO AOS CONTRATOS REGIDOS PELA LEI Nº 14.133, DE 2021, E PELA LEI Nº 8.666, DE 1993.</w:t>
      </w:r>
    </w:p>
    <w:p>
      <w:r>
        <w:t>I. Fundamento legal: art. 37, inciso XXI, da Constituição da República Federativa do Brasil; art. 65, inciso II, alínea "d", c/c § 5º, da Lei nº 8.666, de 21 de junho de 1993; arts. 124, inciso II, alínea "d", e 134 da Lei nº 14.133, de 1º de abril de 2021; e art. 9º-A da Lei nº 12.546, de 14 de dezembro de 2011, incluído pela Lei nº 14.973, de 16 de setembro de 2024.</w:t>
      </w:r>
    </w:p>
    <w:p>
      <w:r>
        <w:t>II. Objeto: celebração de termo aditivo cujo objeto seja o reequilíbrio econômico-financeiro de contratos de serviços contínuos com dedicação exclusiva de mão de obra, inclusive de engenharia, para mais ou para menos, em razão da reoneração gradual da folha de pagamento, mediante demonstração analítica da variação dos custos e ateste técnico da repercussão nos preços contratados.</w:t>
      </w:r>
    </w:p>
    <w:p>
      <w:r>
        <w:t>III. Prazo: requerimento formulado pela contratada durante a vigência do contrato e antes de eventual prorrogação; admite-se a produção de efeitos financeiros retroativa à data do fato gerador do desequilíbrio, observada a inexistência de preclusão.</w:t>
      </w:r>
    </w:p>
    <w:p>
      <w:r>
        <w:t>IV. Recomendação: adoção do presente parecer como Parecer Referencial, na forma da Orientação Normativa AGU nº 55, de 23 de maio de 2014, e da Portaria PGF nº 262, de 5 de maio de 2017, nos casos de ausência de dúvidas jurídicas.</w:t>
      </w:r>
    </w:p>
    <w:p>
      <w:r>
        <w:t>V. Esta Manifestação Jurídica Referencial se aplica aos termos aditivos cujo objeto seja o reequilíbrio econômico-financeiro decorrente da reoneração gradual das folhas de pagamento promovida pela Lei nº 14.973, de 16 de setembro de 2024, nos contratos de serviços contínuos com dedicação exclusiva de mão de obra, inclusive de engenharia, regidos tanto pela Lei nº 14.133, de 2021, quanto pela Lei nº 8.666, de 1993.</w:t>
      </w:r>
    </w:p>
    <w:p>
      <w:r>
        <w:t>VI. Esta Manifestação Jurídica Referencial não se aplica às obras, aos serviços sem dedicação exclusiva de mão de obra, às locações e às aquisições, por ausência de relação direta entre o objeto e o custo da mão de obra reonerado, nem aos casos de dúvida jurídica específica ou de reequilíbrio cumulado com prorrogação, repactuação, reajuste ou outra modificação contratual, que reclamam análise individualizada.</w:t>
      </w:r>
    </w:p>
    <w:p>
      <w:r>
        <w:t>VII. O atestado de adequação deverá indicar, de forma expressa, o dispositivo legal aplicável ao contrato (Lei nº 14.133, de 2021, ou Lei nº 8.666, de 1993) e que a repercussão da reoneração foi tecnicamente apurada e demonstrada nos autos.</w:t>
      </w:r>
    </w:p>
    <w:p>
      <w:r>
        <w:t>1. OBJETO DO PARECER REFERENCIAL</w:t>
      </w:r>
    </w:p>
    <w:p>
      <w:r>
        <w:t>1. O presente Parecer Referencial aplica-se à hipótese de termos aditivos que tratem do reequilíbrio econômico-financeiro de contratos administrativos de prestação de serviços contínuos com dedicação exclusiva de mão de obra, em razão do advento da Lei nº 14.973, de 16 de setembro de 2024, que promoveu a reoneração gradual das folhas de pagamento, alterando o regime instituído pela Lei nº 12.546, de 14 de dezembro de 2011, alcançando os contratos regidos tanto pela Lei nº 8.666, de 1993, quanto pela Lei nº 14.133, de 2021.</w:t>
      </w:r>
    </w:p>
    <w:p>
      <w:r>
        <w:t>2. Como acima aludido, o fato gerador do reequilíbrio aqui tratado é a elevação do custo da mão de obra decorrente da reoneração progressiva instituída pela Lei nº 14.973, de 16 de setembro de 2024. Por essa razão, o referencial alcança também os contratos de serviços de engenharia com dedicação exclusiva de mão de obra, nos quais esse mesmo custo é onerado. Não se aplica, todavia, às obras, aos serviços sem dedicação exclusiva de mão de obra, às locações e às aquisições, por ausência de relação direta entre o objeto e o custo da mão de obra reonerado.</w:t>
      </w:r>
    </w:p>
    <w:p>
      <w:r>
        <w:t>3. O ente assessorado deverá atestar, de forma expressa, que o caso concreto se enquadra na hipótese deste parecer, nos termos do art. 3º, § 2º, da Portaria PGF/AGU nº 262, de 2017. Além disso, devem ser utilizados a lista de verificação de aditamentos atualizada disponibilizada pela AGU em seu sítio eletrônico e o modelo de minuta de termo aditivo constante do anexo deste parecer.</w:t>
      </w:r>
    </w:p>
    <w:p>
      <w:r>
        <w:t>4. A Administração poderá, a qualquer tempo, provocar a atuação do órgão de consultoria nas dúvidas jurídicas específicas que surgirem nos processos desta espécie, bem como para atualização do presente parecer, notadamente em caso de alteração legislativa que toque os seus fundamentos.</w:t>
      </w:r>
    </w:p>
    <w:p>
      <w:r>
        <w:t>2. CABIMENTO DA MANIFESTAÇÃO JURÍDICA REFERENCIAL</w:t>
      </w:r>
    </w:p>
    <w:p>
      <w:r>
        <w:t>5. A Orientação Normativa AGU nº 55, de 2014, autoriza a adoção de manifestação jurídica referencial, que dispensa a análise individualizada de matérias que envolvam questões jurídicas idênticas e recorrentes, nos seguintes termos:</w:t>
      </w:r>
    </w:p>
    <w:p>
      <w:r>
        <w:t>Orientação Normativa 55/2014</w:t>
      </w:r>
    </w:p>
    <w:p>
      <w:r>
        <w:t>I - Os processos que sejam objeto de manifestação jurídica referencial, isto é, aquela que analisa todas as questões jurídicas que envolvam matérias idênticas e recorrentes, estão dispensados de análise individualizada pelos órgãos consultivos, desde que a área técnica ateste, de forma expressa, que o caso concreto se amolda aos termos da citada manifestação.</w:t>
      </w:r>
    </w:p>
    <w:p>
      <w:r>
        <w:t>II - Para a elaboração de manifestação jurídica referencial devem ser observados os seguintes requisitos: a) o volume de processos em matérias idênticas e recorrentes impactar, justificadamente, a atuação do órgão consultivo ou a celeridade dos serviços administrativos; e b) a atividade jurídica exercida se restringir à verificação do atendimento das exigências legais a partir da simples conferência de documentos.</w:t>
      </w:r>
    </w:p>
    <w:p>
      <w:r>
        <w:t>6. Trata-se de medida adequada para orientar a Administração, capaz de conferir segurança jurídica à sua atuação, sem a necessidade de análise individualizada desses processos pelo órgão jurídico, salvo se houver dúvida jurídica.</w:t>
      </w:r>
    </w:p>
    <w:p>
      <w:r>
        <w:t>7. A manifestação jurídica referencial é instrumento de racionalização do trabalho consultivo, que viabiliza maior dedicação às questões complexas, prioritárias e estratégicas, que demandam atuação qualificada. O Plenário do Tribunal de Contas da União, no ACÓRDÃO Nº 2.674/2014 -TCU-Plenário [1] , reconheceu o parecer referencial como ferramenta de controle da legalidade dos procedimentos e de maximização racional dos serviços jurídicos públicos.</w:t>
      </w:r>
    </w:p>
    <w:p>
      <w:r>
        <w:t>8. Registra-se que órgãos de consultoria congêneres já editaram manifestações jurídicas referenciais sobre objeto idêntico, tomadas como referência na elaboração do presente parecer: o PARECER REFERENCIAL n. 00001/2025/CGCOM - BSB/SCGP/CGU/AGU, da Consultoria-Geral da União, e o Parecer Referencial CGCP/PGAD/PGFN nº 001/2025, da Procuradoria-Geral da Fazenda Nacional, ambos versando sobre o reequilíbrio econômico-financeiro de contratos administrativos de serviços contínuos com dedicação exclusiva de mão de obra em razão da reoneração gradual das folhas de pagamento promovida pela Lei nº 14.973, de 16 de setembro de 2024. O presente referencial adapta esse entendimento ao âmbito de atuação da ELIC.</w:t>
      </w:r>
    </w:p>
    <w:p>
      <w:r>
        <w:t>9. Para a elaboração de manifestação jurídica referencial devem ser observados os requisitos da Portaria PGF nº 262, de 2017, editada para disciplinar a questão: o volume de processos em matérias idênticas e recorrentes que acarrete sobrecarga de trabalho comprovada e venha a impactar, justificadamente, a atuação do órgão consultivo ou a celeridade dos serviços administrativos; e a restrição da atividade jurídica à verificação do atendimento das exigências legais a partir da simples conferência de documentos.</w:t>
      </w:r>
    </w:p>
    <w:p>
      <w:r>
        <w:t>10. Nesse trilhar de ideias, é necessário sublinhar que a análise dos termos aditivos de reequilíbrio econômico-financeiro decorrente da reoneração gradual da folha de pagamento representa volume expressivo de processos, repetitivo e recorrente, dado que a regra de transição prevista na Lei nº 14.973, de 2024, alcança a generalidade dos contratos de serviços com dedicação exclusiva de mão de obra ao longo do período de 2025 a 2027, e a respectiva análise jurídica restringe-se à conferência da regular instrução documental, sem questão jurídica relevante a dirimir, enquadrando-se nas hipóteses autorizadas pela Orientação Normativa AGU nº 55, de 2014, e pela Portaria PGF nº 262, de 2017.</w:t>
      </w:r>
    </w:p>
    <w:p>
      <w:r>
        <w:t>3. LIMITES DA ANÁLISE JURÍDICA</w:t>
      </w:r>
    </w:p>
    <w:p>
      <w:r>
        <w:t>11. Esta manifestação jurídica tem o objetivo de contribuir com o controle prévio da legalidade, conforme previsto no art. 53 da Lei nº 14.133, de 2021. Questões técnicas, como o detalhamento do objeto da contratação, suas características, requisitos e especificações, são de atribuição da Administração (art. 53 da Lei nº 14.133, de 2021, e Enunciado BPC nº 7 do Manual de Boas Práticas Consultivas da Advocacia-Geral da União). Em especial, a apuração contábil da efetiva repercussão da reoneração nos preços contratados é matéria de cunho técnico, a ser atestada pela área competente do órgão assessorado.</w:t>
      </w:r>
    </w:p>
    <w:p>
      <w:r>
        <w:t>12. Exclui-se da competência da ELIC o exame de legislação específica relacionada à atividade-fim do ente assessorado que seja aplicável ao caso concreto, nos termos do art. 2º da Portaria Normativa PGF/AGU nº 73, de 2025. Tal análise deve ser feita pelo órgão de assessoramento jurídico local.</w:t>
      </w:r>
    </w:p>
    <w:p>
      <w:r>
        <w:t>13. A presente análise pressupõe a adoção do termo aditivo constante do Anexo desse parecer e o uso do Instrumento de Padronização dos Procedimentos de Contratação (IPP).</w:t>
      </w:r>
    </w:p>
    <w:p>
      <w:r>
        <w:t>14. Não há determinação legal de se fiscalizar o cumprimento das recomendações feitas neste parecer, conforme Boa Prática Consultiva nº 5. Caso a autoridade administrativa deixe de acatá-las, assume, inteiramente, a responsabilidade por sua conduta.</w:t>
      </w:r>
    </w:p>
    <w:p>
      <w:r>
        <w:t>4. DA FUNDAMENTAÇÃO</w:t>
      </w:r>
    </w:p>
    <w:p>
      <w:r>
        <w:t>4.1 DO REEQUILÍBRIO ECONÔMICO-FINANCEIRO E DA REONERAÇÃO DA FOLHA DE PAGAMENTO</w:t>
      </w:r>
    </w:p>
    <w:p>
      <w:r>
        <w:t>Como sabido, o reequilíbrio econômico-financeiro encontra assento na própria Constituição da República, cujo art. 37, inciso XXI, assegura a preservação das condições efetivas da proposta ao longo da execução contratual:</w:t>
      </w:r>
    </w:p>
    <w:p>
      <w:r>
        <w:t>Art. 37. A administração pública direta e indireta de qualquer dos Poderes da União, dos Estados, do Distrito Federal e dos Municípios obedecerá aos princípios de legalidade, impessoalidade, moralidade, publicidade e eficiência e, também, ao seguinte:</w:t>
      </w:r>
    </w:p>
    <w:p>
      <w:r>
        <w:t>[...]</w:t>
      </w:r>
    </w:p>
    <w:p>
      <w:r>
        <w:t>XXI - ressalvados os casos especificados na legislação, as obras, serviços, compras e alienações serão contratados mediante processo de licitação pública que assegure igualdade de condições a todos os concorrentes, com cláusulas que estabeleçam obrigações de pagamento, mantidas as condições efetivas da proposta, nos termos da lei, o qual somente permitirá as exigências de qualificação técnica e econômica indispensáveis à garantia do cumprimento das obrigações.</w:t>
      </w:r>
    </w:p>
    <w:p>
      <w:r>
        <w:t>15. Consoante lição de Celso Antônio Bandeira de Mello, o equilíbrio econômico-financeiro (ou equação econômico-financeira) é a relação de igualdade formada, de um lado, pelas obrigações assumidas pelo contratante no momento do ajuste e, de outro lado, pela compensação econômica que lhe corresponderá [2] .</w:t>
      </w:r>
    </w:p>
    <w:p>
      <w:r>
        <w:t>16. No plano infraconstitucional, a recomposição decorrente da superveniência de disposição legal ou tributária de comprovada repercussão nos preços está contemplada nos dois regimes de contratação:</w:t>
      </w:r>
    </w:p>
    <w:p>
      <w:r>
        <w:t>Lei nº 8.666, de 1993</w:t>
      </w:r>
    </w:p>
    <w:p>
      <w:r>
        <w:t>Art. 65. Os contratos regidos por esta Lei poderão ser alterados, com as devidas justificativas, nos seguintes casos:</w:t>
      </w:r>
    </w:p>
    <w:p>
      <w:r>
        <w:t>[...]</w:t>
      </w:r>
    </w:p>
    <w:p>
      <w:r>
        <w:t>II - por acordo das partes:</w:t>
      </w:r>
    </w:p>
    <w:p>
      <w:r>
        <w:t>[...]</w:t>
      </w:r>
    </w:p>
    <w:p>
      <w: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(Redação dada pela Lei nº 8.883, de 1994)</w:t>
      </w:r>
    </w:p>
    <w:p>
      <w:r>
        <w:t>[...]</w:t>
      </w:r>
    </w:p>
    <w:p>
      <w:r>
        <w:t>§ 5º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r>
        <w:t>Lei nº 14.133, de 2021</w:t>
      </w:r>
    </w:p>
    <w:p>
      <w:r>
        <w:t>Art. 124. Os contratos regidos por esta Lei poderão ser alterados, com as devidas justificativas, nos seguintes casos:</w:t>
      </w:r>
    </w:p>
    <w:p>
      <w:r>
        <w:t>[...]</w:t>
      </w:r>
    </w:p>
    <w:p>
      <w:r>
        <w:t>II - por acordo entre as partes:</w:t>
      </w:r>
    </w:p>
    <w:p>
      <w:r>
        <w:t>[...]</w:t>
      </w:r>
    </w:p>
    <w:p>
      <w:r>
        <w:t>d) para restabelecer o equilíbrio econômico-financeiro inicial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w:t>
      </w:r>
    </w:p>
    <w:p>
      <w:r>
        <w:t>[...]</w:t>
      </w:r>
    </w:p>
    <w:p>
      <w:r>
        <w:t>Art. 134. Os preços contratados serão alterados, para mais ou para menos, conforme o caso, se houver, após a data da apresentação da proposta, criação, alteração ou extinção de quaisquer tributos ou encargos legais ou a superveniência de disposições legais, com comprovada repercussão sobre os preços contratados.</w:t>
      </w:r>
    </w:p>
    <w:p>
      <w:r>
        <w:t>17. O regime de desoneração da folha de pagamento, instituído pela Lei nº 12.546, de 2011, substituiu, para os setores beneficiados, a contribuição previdenciária patronal de vinte por cento sobre a folha de salários pela Contribuição Previdenciária sobre a Receita Bruta, incidente sobre o faturamento, com repercussão direta no custo da mão de obra. Depois de sucessivas prorrogações e de período em que vigorou por prazo indeterminado, a Lei nº 14.973, de 16 de setembro de 2024, instituiu a reoneração gradual, mediante alíquotas crescentes sobre a folha e decrescentes sobre a receita bruta entre 1º de janeiro de 2025 e 31 de dezembro de 2027, com extinção do regime a partir de 1º de janeiro de 2028. Por onerar o custo da mão de obra, a medida alcança diretamente os contratos de prestação de serviços com dedicação exclusiva.</w:t>
      </w:r>
    </w:p>
    <w:p>
      <w:r>
        <w:t>18. Ao examinar esses efeitos, a Consultoria-Geral da União, no PARECER n. 00538/2024/CGCOM - BSB/SCGP/CGU/AGU, reconheceu o cabimento do reequilíbrio, em simetria com a orientação que o Tribunal de Contas da União firmara à época da desoneração, quando determinou a revisão das planilhas de custos com fundamento no art. 65, § 5º, da Lei nº 8.666, de 1993 (Acórdão nº 2.859/2013). Extrai-se da conclusão do parecer:</w:t>
      </w:r>
    </w:p>
    <w:p>
      <w:r>
        <w:t>20. Nesse contexto, comprovado que a Contratada se beneficiava da desoneração e, portanto, foi afetada pela Lei nº 14.973/2024, e que a edição desta foi superveniente à celebração do contrato, entende-se que a situação em análise se enquadra na figura do "Fato do Príncipe", possibilitando, o reequilíbrio econômico-financeiro com esteio no art. 65, §5º, da Lei nº 8.666/93.</w:t>
      </w:r>
    </w:p>
    <w:p>
      <w:r>
        <w:t>19. A esse fundamento soma-se a imprevisibilidade do termo final do regime que, embora temporário, foi sucessivamente prorrogado e dependia de decisão política, circunstância que a Consultoria-Geral da União reputou suficiente, no PARECER n. 00026/2025/CGCOM - BSB/SCGP/CGU/AGU, para autorizar a revisão, conforme se lê de sua conclusão:</w:t>
      </w:r>
    </w:p>
    <w:p>
      <w:r>
        <w:t>30. Nesse panorama, entende-se que o caráter temporário do regime de desoneração da folha de pagamento não descaracteriza a imprevisibilidade necessária à aplicação do art. 65, inciso II, alínea "d" c/c §5º, da Lei nº 8.666/1993, razão pela qual se conclui, reiterando-se o PARECER n. 00538/2024/CGCOM - BSB/SCGP/CGU/AGU, que o presente permite reequilíbrio econômico-financeiro com fulcro no citado dispositivo.</w:t>
      </w:r>
    </w:p>
    <w:p>
      <w:r>
        <w:t>20. Transposta essa orientação ao caso, a reoneração instituída pela Lei nº 14.973, de 2024, por ser posterior à apresentação da proposta e por elevar a carga incidente sobre a folha que serviu de base ao preço ofertado, rompe a equação inicial e configura fato do príncipe. Cuida-se de determinação estatal de alcance geral, que atinge todos os contratados em idêntica situação, e não apenas a contratada, traço apontado como distintivo do instituto [3] .</w:t>
      </w:r>
    </w:p>
    <w:p>
      <w:r>
        <w:t>21. A caracterização do fato do príncipe não se esgota na superveniência e na imprevisibilidade da medida. Reclama a demonstração, nos autos, do nexo de causalidade entre a alteração legislativa e a economia do contrato, sendo indispensável que a incidência tributária recaia sobre custo necessário à execução do objeto contratual, e não sobre a riqueza já apropriada pelo particular, de modo que a repercussão sobre os preços fique efetivamente comprovada.</w:t>
      </w:r>
    </w:p>
    <w:p>
      <w:r>
        <w:t>22. No caso da contribuição previdenciária patronal, o nexo se evidencia, pois a exação onera diretamente o custo da mão de obra, elemento nuclear do objeto contratual. A apuração concreta dessa repercussão, todavia, é de ordem técnica, cabendo à área competente do órgão assessorado atestá-la como pressuposto de legalidade da alteração.</w:t>
      </w:r>
    </w:p>
    <w:p>
      <w:r>
        <w:t>23. Observada a diligência acima, o reequilíbrio econômico-financeiro pleiteado terá esteio no art. 65, inciso II, alínea "d", c/c § 5º, da Lei nº 8.666, de 1993, ou nos arts. 124, inciso II, alínea "d", e 134 da Lei nº 14.133, de 2021, a depender da legislação aplicável ao contrato administrativo. No regime da Lei nº 8.666, de 1993, a revisão por superveniência de disposição legal de comprovada repercussão nos preços, prevista no art. 65, § 5º, opera para mais ou para menos, independentemente de impacto econômico relevante, conforme assentado em doutrina especializada sobre contratos de mão de obra [4] .</w:t>
      </w:r>
    </w:p>
    <w:p>
      <w:r>
        <w:t>4.2 DA INSTRUÇÃO PROCESSUAL E DA APURAÇÃO DA REPERCUSSÃO</w:t>
      </w:r>
    </w:p>
    <w:p>
      <w:r>
        <w:t>24. A alteração formaliza-se por termo aditivo, precedido de requerimento da contratada. O pedido de restabelecimento do equilíbrio econômico-financeiro deve ser formulado durante a vigência do contrato e antes de eventual prorrogação, na forma do parágrafo único do art. 131 da Lei nº 14.133, de 2021, e do art. 65, inciso II, alínea "d", da Lei nº 8.666, de 1993.</w:t>
      </w:r>
    </w:p>
    <w:p>
      <w:r>
        <w:t>25. A tempestividade do requerimento, e não a subsistência do ajuste, é o pressuposto do reconhecimento. A celebração de termo aditivo pressupõe contrato vigente; formulado o pedido no prazo, porém, a posterior extinção do contrato não obsta o reconhecimento do desequilíbrio, caso em que a recomposição se faz por termo indenizatório, e não por aditivo, nos termos do art. 131 da Lei nº 14.133, de 2021:</w:t>
      </w:r>
    </w:p>
    <w:p>
      <w:r>
        <w:t>Art. 131. A extinção do contrato não configurará óbice para o reconhecimento do desequilíbrio econômico-financeiro, hipótese em que será concedida indenização por meio de termo indenizatório.</w:t>
      </w:r>
    </w:p>
    <w:p>
      <w:r>
        <w:t>Parágrafo único. O pedido de restabelecimento do equilíbrio econômico-financeiro deverá ser formulado durante a vigência do contrato e antes de eventual prorrogação nos termos do art. 107 desta Lei.</w:t>
      </w:r>
    </w:p>
    <w:p>
      <w:r>
        <w:t>26. Embora a Lei nº 8.666, de 1993, não contivesse dispositivo equivalente ao art. 131 da Lei nº 14.133, de 2021, o mesmo entendimento se estende aos contratos regidos pelo regime anterior, à luz da garantia constitucional do equilíbrio econômico-financeiro (art. 37, inciso XXI, da Constituição da República Federativa do Brasil) e da vedação ao enriquecimento sem causa da Administração, que respaldam o reconhecimento do desequilíbrio tempestivamente pleiteado ainda que sobrevenha a extinção do contrato.</w:t>
      </w:r>
    </w:p>
    <w:p>
      <w:r>
        <w:t>27. Cabe à unidade técnica, pois, aferir a data do requerimento e a situação de vigência do contrato, adotando a via adequada de formalização conforme o ajuste esteja, ou não, em curso.</w:t>
      </w:r>
    </w:p>
    <w:p>
      <w:r>
        <w:t>28. A contratada deve requerer o reequilíbrio com fundamentação, demonstrando os cálculos aplicáveis e a efetiva repercussão da reoneração nos preços contratados, mediante demonstração analítica da variação dos custos. As alterações da contribuição previdenciária devem observar as proporções anuais previstas no art. 9º-A da Lei nº 12.546, de 2011 (incluído pela Lei nº 14.973, de 2024), integrando o submódulo 2.2, item "INSS", correspondente à Contribuição Previdenciária Patronal (CPP), e o módulo 6, item "tributo", correspondente à Contribuição Previdenciária sobre a Receita Bruta (CPRB), conforme a gradação prevista em lei e o modelo de planilha de custos e formação de preços editável (planilha modelo SEGES), bem como as orientações do Portal de Compras do Governo Federal sobre a reoneração gradual da folha de pagamento.</w:t>
      </w:r>
    </w:p>
    <w:p>
      <w:r>
        <w:t>29. Deve a Administração conferir o pedido de revisão, verificando se os valores apresentados refletem corretamente as alíquotas da CPP e da CPRB, observando que não há incidência do INSS no décimo terceiro salário para atividades desoneradas durante a transição, e adotar exclusivamente os percentuais legalmente aplicáveis em cada período. A reoneração pode resultar em revisão para mais ou para menos, conforme o caso, cabendo à área técnica apurar a efetiva repercussão.</w:t>
      </w:r>
    </w:p>
    <w:p>
      <w:r>
        <w:t>30. Para o efetivo pagamento dos custos, deve restar documentalmente comprovada nos autos a realização das despesas e os seus reflexos no contrato, com análise, por órgão técnico, dos cálculos e documentos apresentados pela contratada.</w:t>
      </w:r>
    </w:p>
    <w:p>
      <w:r>
        <w:t>4.3 DA MANUTENÇÃO DAS CONDIÇÕES DE HABILITAÇÃO</w:t>
      </w:r>
    </w:p>
    <w:p>
      <w:r>
        <w:t>31. A contratada é obrigada a manter, durante toda a execução do contrato, em compatibilidade com as obrigações por ela assumidas, todas as condições de habilitação e qualificação exigidas na licitação (art. 55, inciso XIII, da Lei nº 8.666, de 1993; art. 92, inciso XVI, da Lei nº 14.133, de 2021). A regularidade fiscal e trabalhista deve ser mantida durante toda a execução contratual, exigindo-se, ainda, a Certidão Negativa de Débitos Trabalhistas (arts. 27, inciso IV, e 29, inciso V, da Lei nº 8.666, de 1993; e art. 68, caput e inciso V, da Lei nº 14.133, de 2021).</w:t>
      </w:r>
    </w:p>
    <w:p>
      <w:r>
        <w:t>32. Conforme o ACÓRDÃO Nº 1.793/2011 - TCU - Plenário, recomenda-se, antes da celebração do aditivo, a consulta prévia ao Sistema de Cadastramento Unificado de Fornecedores (SICAF); ao Cadastro Informativo de créditos não quitados do setor público federal (CADIN); ao Cadastro Nacional de Empresas Inidôneas e Suspensas (CEIS); ao Cadastro Nacional de Empresas Punidas (CNEP); ao Cadastro Nacional de Condenações Cíveis por Atos de Improbidade Administrativa, mantido pelo Conselho Nacional de Justiça; e à Lista de Inidôneos mantida pelo Tribunal de Contas da União. As consultas ao CEIS, ao CNEP, ao cadastro do Conselho Nacional de Justiça e à Lista de Inidôneos do Tribunal de Contas da União podem ser substituídas pela Consulta Consolidada de Pessoa Jurídica do Tribunal de Contas da União.</w:t>
      </w:r>
    </w:p>
    <w:p>
      <w:r>
        <w:t>33. Quanto à inadimplência no CADIN, a Lei nº 14.973, de 2024, incluiu o art. 6º-A na Lei nº 10.522, de 2002, segundo o qual a existência de registro no CADIN, na consulta prévia de que trata o art. 6º, constitui fator impeditivo para a realização dos atos previstos nos incisos I, II e III do caput do art. 6º. Em regra, portanto, a Administração não pode celebrar ou aditar contratos com pessoas físicas e jurídicas com registro no CADIN.</w:t>
      </w:r>
    </w:p>
    <w:p>
      <w:r>
        <w:t>34. Quanto ao alcance temporal, o art. 6º-A da Lei nº 10.522, de 2002, incluído pelo art. 20 da Lei nº 14.973, de 2024, entrou em vigor na data de sua publicação, em 16 de setembro de 2024, nos termos do art. 50 da mesma Lei, e aplica-se aos ajustes firmados a partir de então. Para os contratos firmados sob a lei anterior, o PARECER n. 00063/2024/DECOR/CGU/AGU, de aplicação compulsória no âmbito da Advocacia-Geral da União, delimitou o tratamento dos respectivos aditamentos:</w:t>
      </w:r>
    </w:p>
    <w:p>
      <w:r>
        <w:t>(e) Em razão da segurança jurídica e da ausência de imposição legal em contrário, a superveniência do art. 6º- A da Lei nº 10.522/2002 não impõe a revisão dos pactos já formalizados antes da sua vigência;</w:t>
      </w:r>
    </w:p>
    <w:p>
      <w:r>
        <w:t>(f)Quanto à celebração de aditivos nos ajustes que envolvam desembolso de recurso público e que foram firmados sobre a égide da lei antiga, após a alteração da Lei do CADIN, uma vez certificada a inscrição no cadastro, caberá ao competente gestor considerar os obstáculos e as dificuldades reais naquele determinado caso diante das exigências das políticas públicas a seu cargo (art. 22 da LINDB), avaliando as alternativas para a manutenção prestação do serviço e as consequências práticas da decisão (art. 20, caput e parágrafo único, LINDB) , sem se descuidar do prescrito pelo art. 6º-A da Lei 10.522/2002 incluído pela Lei nº 14.973, de 2024 (art. 147, da Lei n.º 14.133/2021);</w:t>
      </w:r>
    </w:p>
    <w:p>
      <w:r>
        <w:t>35. Assim, a inscrição no CADIN não obsta automaticamente o aditivo de reequilíbrio em contrato firmado antes da vigência do art. 6º-A da Lei nº 10.522, de 2002, devendo o gestor sopesar, de forma motivada, as circunstâncias do caso concreto à luz dos arts. 20 e 22 da Lei de Introdução às Normas do Direito Brasileiro, sem descurar do impedimento legal.</w:t>
      </w:r>
    </w:p>
    <w:p>
      <w:r>
        <w:t>36. As consultas quanto à inexistência de sanções impeditivas da contratação devem ser realizadas em nome da empresa contratada e também de seu sócio majoritário, por força do art. 12 da Lei nº 8.429, de 1992, que prevê, entre as sanções por ato de improbidade administrativa, a proibição de contratar com o Poder Público, inclusive por intermédio de pessoa jurídica da qual seja sócio majoritário.</w:t>
      </w:r>
    </w:p>
    <w:p>
      <w:r>
        <w:t>37. A Administração não poderá celebrar o termo aditivo se a contratada estiver sancionada com a proibição de contratar com o Poder Público, a suspensão ou o impedimento em toda a Administração Pública Federal ou a declaração de inidoneidade. Antes da assinatura, deve a área técnica atentar para a validade de todas as certidões que comprovam a manutenção das condições de habilitação e a possibilidade de contratar com o Poder Público.</w:t>
      </w:r>
    </w:p>
    <w:p>
      <w:r>
        <w:t>4.4 DA PRÉVIA DISPONIBILIDADE ORÇAMENTÁRIA</w:t>
      </w:r>
    </w:p>
    <w:p>
      <w:r>
        <w:t>38. A indicação da disponibilidade orçamentária, com a respectiva classificação funcional programática e a categoria econômica da despesa, é imposição legal (art. 6º, inciso XXIII, alínea "j", c/c art. 18, caput, arts. 105 e 150 da Lei nº 14.133, de 2021; art. 7º, § 2º, inciso III, art. 38, caput, e art. 55, inciso V, da Lei nº 8.666, de 1993; art. 10, inciso IX, da Lei nº 8.429, de 1992). É necessário juntar, antes da celebração do aditivo, a nota de empenho suficiente para o suporte da despesa (art. 60 da Lei nº 4.320, de 1964).</w:t>
      </w:r>
    </w:p>
    <w:p>
      <w:r>
        <w:t>39. Previamente à assinatura do termo aditivo, deve ser anexada a declaração sobre a adequação orçamentária e financeira para fazer face às despesas, em conformidade com os arts. 16 e 17 da Lei Complementar nº 101, de 2000. Se as despesas forem qualificáveis como atividades, rotineiras e ordinárias, é dispensado o atendimento das exigências do art. 16, incisos I e II, da Lei Complementar nº 101, de 2000 (Orientação Normativa AGU nº 52, de 2014, e Conclusão DEPCONSU/PGF/AGU nº 01/2012).</w:t>
      </w:r>
    </w:p>
    <w:p>
      <w:r>
        <w:t>4.5 DA ADEQUAÇÃO DO VALOR DA GARANTIA CONTRATUAL</w:t>
      </w:r>
    </w:p>
    <w:p>
      <w:r>
        <w:t>40. Nos termos do art. 56, § 2º, da Lei nº 8.666, de 1993, a garantia terá o seu valor atualizado nas mesmas condições do respectivo contrato. A mesma lógica se aplica à Lei nº 14.133, de 2021, uma vez que a garantia é calculada pela aplicação de um percentual sobre o valor do contrato. Assim, caso tenha sido exigida garantia na celebração do contrato e o reequilíbrio implique majoração do valor, deve haver o reforço correspondente ao acréscimo realizado.</w:t>
      </w:r>
    </w:p>
    <w:p>
      <w:r>
        <w:t>4.6 DA ATUALIZAÇÃO DO MAPA DE RISCOS</w:t>
      </w:r>
    </w:p>
    <w:p>
      <w:r>
        <w:t>41. Nos termos do art. 26, § 1º, inciso IV, da Instrução Normativa SEGES/MP nº 5, de 2017, o Mapa de Riscos deve ser atualizado e juntado aos autos após eventos relevantes, durante a gestão do contrato. Deve a área técnica avaliar se o aditamento que se pretende efetivar constitui evento relevante para fins de eventual atualização do Mapa de Riscos.</w:t>
      </w:r>
    </w:p>
    <w:p>
      <w:r>
        <w:t>4.7 DA MINUTA DO TERMO ADITIVO</w:t>
      </w:r>
    </w:p>
    <w:p>
      <w:r>
        <w:t>42. O termo aditivo deve conter as cláusulas mínimas necessárias para sua compreensão e eficácia, na esteira do que restou orientado nos tópicos precedentes. A maioria das orientações apresentadas pressupõe avaliação e definição que se esgotam previamente à elaboração da minuta, razão por que não precisam constar do termo aditivo. Deve a Administração utilizar os modelos padronizados da AGU, observado, ainda, o modelo de minuta de termo aditivo constante do Anexo deste parecer.</w:t>
      </w:r>
    </w:p>
    <w:p>
      <w:r>
        <w:t>43. A vigência do aditivo será a data da assinatura, mas o efeito financeiro do reequilíbrio econômico-financeiro pode retroagir à data do fato gerador que deu causa ao desequilíbrio, caso não tenha ocorrido preclusão. Sobre o ponto, são válidas as lições de Marçal Justen Filho [5] , para quem é compatível com a ordem jurídica que direitos e deveres surjam depois de avençada a contratação, ainda que formalizados em época posterior, sendo o caso mais evidente o da recomposição da equação econômico-financeira, que envolve, na esmagadora maioria dos casos, eventos ocorridos anteriormente.</w:t>
      </w:r>
    </w:p>
    <w:p>
      <w:r>
        <w:t>44. A jurisprudência do Tribunal de Contas da União confirma a possibilidade de efeitos financeiros retroativos em hipóteses como a de reequilíbrio econômico-financeiro do contrato, conforme o ACÓRDÃO Nº 282/2008 - TCU - Plenário.</w:t>
      </w:r>
    </w:p>
    <w:p>
      <w:r>
        <w:t>14. A não ser em casos excepcionais, a exemplo de situações emergenciais ou mesmo quando se examina direitos a serem avaliados pela administração que demanda período de tempo significativo, como no caso de reequilíbrio econômico-financeiro de contrato, são injustificáveis a realização de serviços e o fornecimento de bens sem cobertura contratual, bem como conferir aos contratos efeitos financeiros retroativos.</w:t>
      </w:r>
    </w:p>
    <w:p>
      <w:r>
        <w:t>45. Considerando que a Lei nº 14.973, de 2024, já especifica como se dará a reoneração progressiva, deve a área técnica avaliar se já não seria adequado incluir no termo aditivo as alíquotas que serão aplicáveis em 2026 e 2027, considerando a vigência inicial do contrato e a possibilidade de sua prorrogação. Os dados do preâmbulo, como o nome dos representantes legais e endereços, devem ser verificados pela própria Administração a partir dos documentos dos autos.</w:t>
      </w:r>
    </w:p>
    <w:p>
      <w:r>
        <w:t>5. DAS PROVIDÊNCIAS COMPLEMENTARES</w:t>
      </w:r>
    </w:p>
    <w:p>
      <w:r>
        <w:t>5.1 Aplicação da Lei nº 13.709, de 2018 (Lei Geral de Proteção de Dados Pessoais)</w:t>
      </w:r>
    </w:p>
    <w:p>
      <w:r>
        <w:t>46. A Administração deve diligenciar junto à contratada para que seja observado o disposto no PARECER n. 00004/2022/CNMLC/CGU/AGU, que trata da aplicação da Lei Geral de Proteção de Dados Pessoais nos modelos de licitação e contratos. Propõe-se que os representantes da Administração sejam identificados apenas pela matrícula funcional e os representantes da contratada apenas pelo nome, sem a indicação de números de documentos pessoais das pessoas naturais que assinarão o instrumento.</w:t>
      </w:r>
    </w:p>
    <w:p>
      <w:r>
        <w:t>5.2 Divulgação no Portal Nacional de Contratações Públicas e observância da Lei de Acesso à Informação</w:t>
      </w:r>
    </w:p>
    <w:p>
      <w:r>
        <w:t>47. É obrigatória a divulgação do aditamento no Portal Nacional de Contratações Públicas (PNCP), na forma do art. 94 da Lei nº 14.133, de 2021, bem como no respectivo sítio oficial na Internet, em atenção ao art. 91, caput, da Lei nº 14.133, de 2021, ao art. 8º, § 2º, da Lei nº 12.527, de 2011, c/c art. 7º, § 3º, inciso V, do Decreto nº 7.724, de 2012.</w:t>
      </w:r>
    </w:p>
    <w:p>
      <w:r>
        <w:t>48. Tratando-se de contrato regido pela Lei nº 8.666, de 1993, a eficácia do termo aditivo condiciona-se à publicação resumida na imprensa oficial, na forma do art. 61, parágrafo único, da referida Lei.</w:t>
      </w:r>
    </w:p>
    <w:p>
      <w:r>
        <w:t>5.3 DA AVALIAÇÃO DE CONFORMIDADE LEGAL</w:t>
      </w:r>
    </w:p>
    <w:p>
      <w:r>
        <w:t>49. Deve a área técnica anexar aos autos a lista de verificação para aditamentos contratuais elaborada pela Advocacia-Geral da União, devidamente preenchida naquilo que couber, datada e assinada, facilitando a conferência da conformidade com os itens deste parecer. A responsabilidade pelo preenchimento é do órgão assessorado. Caso o gestor verifique o não atendimento de algum requisito (ou o atendimento parcial), deve justificar a não aplicabilidade ou efetuar a correção antes do prosseguimento do processo. Recomenda-se que a lista de verificação incorpore os ajustes recomendados neste parecer, indicando os documentos do processo em que foram atendidas as exigências e as justificativas para os casos de "não" e "não se aplica".</w:t>
      </w:r>
    </w:p>
    <w:p>
      <w:r>
        <w:t>5.4 DO ATESTADO DE ADEQUAÇÃO DO PROCESSO AO PARECER REFERENCIAL</w:t>
      </w:r>
    </w:p>
    <w:p>
      <w:r>
        <w:t>50. Deverá o órgão assessorado informar, sempre que solicitado, a relação dos processos, com respectivo NUP, em que a presente manifestação jurídica referencial tenha sido adotada. Recomenda-se, ademais, o preenchimento e a juntada aos autos do atestado de conformidade constante abaixo:</w:t>
      </w:r>
    </w:p>
    <w:p>
      <w:r>
        <w:t>ATESTADO DE CONFORMIDADE DO PROCESSO COM O PARECER REFERENCIAL</w:t>
      </w:r>
    </w:p>
    <w:p>
      <w:r>
        <w:t>Processo (NUP):</w:t>
      </w:r>
    </w:p>
    <w:p>
      <w:r>
        <w:t>Objeto: Reequilíbrio econômico-financeiro de contrato administrativo de serviços contínuos com dedicação exclusiva de mão de obra, em razão da reoneração gradual das folhas de pagamento promovida pela Lei nº 14.973, de 16 de setembro de 2024.</w:t>
      </w:r>
    </w:p>
    <w:p>
      <w:r>
        <w:t>Interessado:</w:t>
      </w:r>
    </w:p>
    <w:p>
      <w:r>
        <w:t>Valor (de referência): R$</w:t>
      </w:r>
    </w:p>
    <w:p>
      <w:r>
        <w:t>Atesto que o caso concreto dos presentes autos se adequa à hipótese analisada pelo PARECER REFERENCIAL n. 00002/2026/GERTEC/ELIC/PGF/AGU, cujas recomendações foram integralmente atendidas, de acordo com o que está consignado na lista de verificação juntada aos autos.</w:t>
      </w:r>
    </w:p>
    <w:p>
      <w:r>
        <w:t>Fica, assim, dispensada a remessa dos autos para exame individualizado pela Procuradoria Federal Especializada junto à autarquia ou fundação, nos termos da Portaria PGF/AGU nº 262, de 5 de maio de 2017, e da Orientação Normativa AGU nº 55, de 23 de maio de 2014.</w:t>
      </w:r>
    </w:p>
    <w:p>
      <w:r>
        <w:t>................................................ de ............................... de 20......</w:t>
      </w:r>
    </w:p>
    <w:p>
      <w:r>
        <w:t>__</w:t>
      </w:r>
    </w:p>
    <w:p>
      <w:r>
        <w:t>____________________________________________</w:t>
      </w:r>
    </w:p>
    <w:p>
      <w:r>
        <w:t>Nome, matrícula e assinatura do servidor responsável pelo atesto</w:t>
      </w:r>
    </w:p>
    <w:p>
      <w:r>
        <w:t>6. CONCLUSÃO</w:t>
      </w:r>
    </w:p>
    <w:p>
      <w:r>
        <w:t>51. Em face do exposto, nos limites da análise jurídica e excluídos os aspectos técnicos e o juízo de oportunidade e conveniência do ajuste, caso sejam preenchidos todos os requisitos constantes deste Parecer Referencial, considera-se juridicamente regular o termo aditivo cujo objeto seja o reequilíbrio econômico-financeiro de contratos administrativos de serviços contínuos com dedicação exclusiva de mão de obra, em razão da reoneração gradual das folhas de pagamento promovida pela Lei nº 14.973, de 16 de setembro de 2024 (art. 38, parágrafo único, da Lei nº 8.666, de 1993, e art. 53, § 4º, da Lei nº 14.133, de 2021).</w:t>
      </w:r>
    </w:p>
    <w:p>
      <w:r>
        <w:t>52. A presente manifestação jurídica consultiva é referencial e os processos administrativos que guardem relação inequívoca e direta com a abordagem aqui realizada poderão, de agora em diante, dispensar análise individualizada, desde que o setor competente ateste, de forma expressa, que a situação concreta se amolda aos termos desta manifestação, conforme modelo constante deste parecer.</w:t>
      </w:r>
    </w:p>
    <w:p>
      <w:r>
        <w:t>53. Caso haja dúvida jurídica, o processo deve ser remetido ao órgão de consultoria para exame individualizado, com a formulação dos questionamentos específicos, nos moldes da Portaria PGF nº 526, de 2013.</w:t>
      </w:r>
    </w:p>
    <w:p>
      <w:r>
        <w:t>54. As orientações emanadas dos pareceres jurídicos, ainda que apenas opinativos, devem ser seguidas ou, caso contrário, justificadas no corpo do processo.</w:t>
      </w:r>
    </w:p>
    <w:p>
      <w:r>
        <w:t>55. Por fim, não há determinação legal para fiscalização posterior de cumprimento de recomendações feitas (Boa Prática Consultiva nº 5).</w:t>
      </w:r>
    </w:p>
    <w:p>
      <w:r>
        <w:t>56. É o parecer, segundo o entendimento consolidado da ELIC, elaborado por meio do Sistema AGU de Inteligência Jurídica (Sapiens), assinado digitalmente, consoante os objetivos de eficiência, padronização e uniformidade na atividade submetida à sua consultoria jurídica (art. 1º, incisos I e II, e art. 3º, inciso II, da Portaria Normativa PGF/AGU nº 73, de 2025).</w:t>
      </w:r>
    </w:p>
    <w:p>
      <w:r>
        <w:t>Salvador, na data da assinatura.</w:t>
      </w:r>
    </w:p>
    <w:p>
      <w:r>
        <w:t>DANIEL DE ANDRADE OLIVEIRA BARRAL</w:t>
      </w:r>
    </w:p>
    <w:p>
      <w:r>
        <w:t>Gerente Técnico da Equipe de Licitações e Contratos Procurador Federal</w:t>
      </w:r>
    </w:p>
    <w:p>
      <w:r>
        <w:t>ANEXO</w:t>
      </w:r>
    </w:p>
    <w:p>
      <w:r>
        <w:t>MODELO DE MINUTA DE TERMO ADITIVO</w:t>
      </w:r>
    </w:p>
    <w:p>
      <w:r>
        <w:t>Lei nº 8.666, de 21 de junho de 1993, ou Lei nº 14.133, de 1º de abril de 2021</w:t>
      </w:r>
    </w:p>
    <w:p>
      <w:r>
        <w:t>Reequilíbrio econômico-financeiro decorrente da reoneração gradual da folha de pagamento (Lei nº 14.973, de 16 de setembro de 2024)</w:t>
      </w:r>
    </w:p>
    <w:p>
      <w:r>
        <w:t>Notas explicativas: os campos entre colchetes devem ser preenchidos pelo órgão contratante conforme as peculiaridades do contrato. As opções separadas por "OU" devem ser escolhidas segundo o regime da contratação. Os representantes da contratante são identificados pela matrícula funcional e os da contratada pelo nome, sem indicação de números de documentos pessoais. As notas explicativas devem ser suprimidas na finalização do documento, recomendada a adoção dos modelos padronizados da AGU naquilo que com eles não conflitar.</w:t>
      </w:r>
    </w:p>
    <w:p>
      <w:r>
        <w:t>[PRIMEIRO/SEGUNDO/...] TERMO ADITIVO AO CONTRATO Nº [.../...], QUE ENTRE SI CELEBRAM A [AUTARQUIA ...] OU [FUNDAÇÃO ...] E [...].</w:t>
      </w:r>
    </w:p>
    <w:p>
      <w:r>
        <w:t>A [Autarquia ...] OU [Fundação ...], com sede no(a) [endereço], na cidade de [cidade]/[UF], inscrita no CNPJ sob o nº [...], neste ato representada pelo(a) [cargo e nome], nomeado(a) pela Portaria nº [...], de [dia] de [mês] de [ano], publicada no Diário Oficial da União de [dia] de [mês] de [ano], portador(a) da matrícula funcional nº [...], doravante denominada CONTRATANTE, e o(a) [contratado], inscrito(a) no CNPJ sob o nº [...], sediado(a) na [endereço], na cidade de [cidade]/[UF], doravante designado(a) CONTRATADO, neste ato representado(a) por [nome e função no contratado], conforme [atos constitutivos] OU [procuração apresentada nos autos], tendo em vista o que consta do Processo nº [...] e em observância às disposições da Lei nº 8.666, de 21 de junho de 1993, OU da Lei nº 14.133, de 1º de abril de 2021, e demais legislação aplicável, resolvem celebrar o presente Termo Aditivo ao Contrato nº [.../...], mediante as cláusulas e condições a seguir enunciadas.</w:t>
      </w:r>
    </w:p>
    <w:p>
      <w:r>
        <w:t>CLÁUSULA PRIMEIRA - OBJETO</w:t>
      </w:r>
    </w:p>
    <w:p>
      <w:r>
        <w:t>1.1 O presente termo aditivo tem por objeto a revisão dos preços do contrato, a título de reequilíbrio econômico-financeiro decorrente da reoneração gradual da folha de pagamento promovida pela Lei nº 14.973, de 16 de setembro de 2024, que alterou o regime instituído pela Lei nº 12.546, de 14 de dezembro de 2011, com fundamento no art. 65, inciso II, alínea "d", c/c § 5º, da Lei nº 8.666, de 1993, OU nos arts. 124, inciso II, alínea "d", e 134 da Lei nº 14.133, de 2021, conforme o regime do contrato.</w:t>
      </w:r>
    </w:p>
    <w:p>
      <w:r>
        <w:t>1.2 Em razão da alteração, serão realizados os ajustes correspondentes na Planilha de Custos e Formação de Preços vinculada ao contrato, no submódulo 2.2 (Contribuição Previdenciária Patronal) e no módulo 6 (Contribuição Previdenciária sobre a Receita Bruta).</w:t>
      </w:r>
    </w:p>
    <w:p>
      <w:r>
        <w:t>CLÁUSULA SEGUNDA - PREÇO</w:t>
      </w:r>
    </w:p>
    <w:p>
      <w:r>
        <w:t>2.1 Com a alteração, o valor [mensal] da contratação passará a ser R$ [...], a partir de [data], perfazendo o valor [anual/global] de R$ [...], conforme tabela abaixo, aplicadas exclusivamente as alíquotas legalmente previstas para o(s) período(s) de [...]:</w:t>
      </w:r>
    </w:p>
    <w:p>
      <w:r>
        <w:t>[inserir tabela com o valor anterior, o valor revisado e as alíquotas da Contribuição Previdenciária Patronal e da Contribuição Previdenciária sobre a Receita Bruta]</w:t>
      </w:r>
    </w:p>
    <w:p>
      <w:r>
        <w:t>Nota explicativa: considerando que a Lei nº 14.973, de 2024, já estabelece a progressão das alíquotas, avalie a área técnica a conveniência de fazer constar do quadro os percentuais aplicáveis em 2026 e 2027, observada a vigência do contrato e a possibilidade de prorrogação; durante a transição, não há incidência da contribuição sobre a folha no décimo terceiro salário das atividades desoneradas.</w:t>
      </w:r>
    </w:p>
    <w:p>
      <w:r>
        <w:t>CLÁUSULA TERCEIRA - DOTAÇÃO ORÇAMENTÁRIA</w:t>
      </w:r>
    </w:p>
    <w:p>
      <w:r>
        <w:t>3.1 As despesas decorrentes do presente termo aditivo correrão à conta de recursos consignados no orçamento da CONTRATANTE, na seguinte dotação: Gestão/Unidade [...]; Fonte de recursos [...]; Programa de trabalho [...]; Elemento de despesa [...]; Plano interno [...]; Nota de empenho [...].</w:t>
      </w:r>
    </w:p>
    <w:p>
      <w:r>
        <w:t>3.2 A dotação relativa aos exercícios financeiros subsequentes será indicada após a aprovação da respectiva Lei Orçamentária e a liberação dos créditos correspondentes, mediante apostilamento.</w:t>
      </w:r>
    </w:p>
    <w:p>
      <w:r>
        <w:t>CLÁUSULA QUARTA - GARANTIA DE EXECUÇÃO</w:t>
      </w:r>
    </w:p>
    <w:p>
      <w:r>
        <w:t>4.1 Havendo majoração do valor contratual e tendo sido exigida garantia, a CONTRATADA deverá adequá-la, mantendo a proporção prevista no contrato em relação ao valor global (art. 56, § 2º, da Lei nº 8.666, de 1993, OU art. 96, combinado com o art. 98, da Lei nº 14.133, de 2021), no prazo de [...] dias, a contar da assinatura deste instrumento, prorrogável por igual período a critério da CONTRATANTE.</w:t>
      </w:r>
    </w:p>
    <w:p>
      <w:r>
        <w:t>4.2 No caso de redução do valor contratual, fica facultada à CONTRATADA a manutenção da garantia já prestada.</w:t>
      </w:r>
    </w:p>
    <w:p>
      <w:r>
        <w:t>CLÁUSULA QUINTA PRODUÇÃO DE EFEITOS</w:t>
      </w:r>
    </w:p>
    <w:p>
      <w:r>
        <w:t>5.1 O presente termo aditivo produzirá efeitos a partir [da data de sua assinatura] OU [de (data)], admitida a produção de efeitos financeiros retroativa à data do fato gerador do desequilíbrio, observada a inexistência de preclusão e comprovados documentalmente, nos autos, os reflexos da reoneração sobre os custos do contrato.</w:t>
      </w:r>
    </w:p>
    <w:p>
      <w:r>
        <w:t>CLÁUSULA SEXTA - RATIFICAÇÃO</w:t>
      </w:r>
    </w:p>
    <w:p>
      <w:r>
        <w:t>6.1 Ficam mantidas e ratificadas as demais cláusulas e condições do contrato originário, naquilo que não contrariem o presente termo aditivo.</w:t>
      </w:r>
    </w:p>
    <w:p>
      <w:r>
        <w:t>CLÁUSULA SÉTIMA PUBLICAÇÃO</w:t>
      </w:r>
    </w:p>
    <w:p>
      <w:r>
        <w:t>7.1 Nos contratos regidos pela Lei nº 14.133, de 2021, incumbirá à CONTRATANTE divulgar o presente instrumento no Portal Nacional de Contratações Públicas (PNCP), na forma do art. 94 da referida Lei, bem como no respectivo sítio oficial na Internet, em atenção ao art. 91, caput, da Lei nº 14.133, de 2021, e ao art. 8º, § 2º, da Lei nº 12.527, de 2011, c/c art. 7º, § 3º, inciso V, do Decreto nº 7.724, de 2012.</w:t>
      </w:r>
    </w:p>
    <w:p>
      <w:r>
        <w:t>7.2 Nos contratos regidos pela Lei nº 8.666, de 1993, incumbirá à CONTRATANTE a publicação do extrato do presente instrumento na imprensa oficial, como condição de eficácia, na forma do art. 61, parágrafo único, da referida Lei, bem como a divulgação no respectivo sítio oficial na Internet.</w:t>
      </w:r>
    </w:p>
    <w:p>
      <w:r>
        <w:t>[Local], [dia] de [mês] de [ano].</w:t>
      </w:r>
    </w:p>
    <w:p>
      <w:r>
        <w:t>Representante legal do CONTRATANTE</w:t>
      </w:r>
    </w:p>
    <w:p>
      <w:r>
        <w:t>Representante legal do CONTRATADO</w:t>
      </w:r>
    </w:p>
    <w:p>
      <w:r>
        <w:br w:type="page"/>
      </w:r>
    </w:p>
    <w:p>
      <w:pPr>
        <w:pStyle w:val="Heading1"/>
      </w:pPr>
      <w:r>
        <w:t>2026-08-17</w:t>
      </w:r>
    </w:p>
    <w:p>
      <w:pPr>
        <w:pStyle w:val="Heading2"/>
      </w:pPr>
      <w:r>
        <w:t>ATO Nº 1.387, DE 14 DE AGOSTO DE 2026</w:t>
      </w:r>
    </w:p>
    <w:p>
      <w:pPr>
        <w:pStyle w:val="ListBullet"/>
      </w:pPr>
      <w:r>
        <w:t>Ementa: Decreta a liquidação extrajudicial da Simpala Lançadora e Administradora de Consórcios Ltda.</w:t>
      </w:r>
    </w:p>
    <w:p>
      <w:r>
        <w:t>Categoria: Banco Central do Brasil/Gabinete do Presidente</w:t>
      </w:r>
    </w:p>
    <w:p>
      <w:r>
        <w:t>Página: 178</w:t>
      </w:r>
    </w:p>
    <w:p/>
    <w:p>
      <w:r>
        <w:t>ATO Nº 1.387, DE 14 DE AGOSTO DE 2026</w:t>
      </w:r>
    </w:p>
    <w:p>
      <w:r>
        <w:t>Decreta a liquidação extrajudicial da Simpala Lançadora e Administradora de Consórcios Ltda.</w:t>
      </w:r>
    </w:p>
    <w:p>
      <w:r>
        <w:t>O Presidente do Banco Central do Brasil, no uso das atribuições que lhe confere o art. 12, caput, inciso XI, alínea "a", do Regimento Interno do Banco Central do Brasil, anexo à Resolução BCB nº 340, de 21 de setembro de 2023, com fundamento nos arts. 15, caput, inciso I, alíneas "a", "b" e "c", e § 2º, e 16 da Lei nº 6.024, de 13 de março de 1974, combinados com o art. 39 da Lei nº 11.795, de 8 de outubro de 2008, em razão do grave comprometimento da situação econômico-financeira da instituição, das graves violações às normas legais que disciplinam a sua atividade e de prejuízos que sujeitam a risco anormal seus credores quirografários, conforme consta no PE 312931, resolve:</w:t>
      </w:r>
    </w:p>
    <w:p>
      <w:r>
        <w:t>Art. 1º Fica decretada a liquidação extrajudicial da Simpala Lançadora e Administradora de Consórcios Ltda., CNPJ 87.945.218/0001-05, com sede em Porto Alegre (RS).</w:t>
      </w:r>
    </w:p>
    <w:p>
      <w:r>
        <w:t>Art. 2º Fica nomeada liquidante, com amplos poderes de administração e liquidação, a empresa GSCH Serviços de Apoio Administrativo Ltda., CNPJ 66.123.420/0001-73, tendo como responsável técnico Gustavo Scholz, CPF ***.197.760-**.</w:t>
      </w:r>
    </w:p>
    <w:p>
      <w:r>
        <w:t>Art. 3º Fica estabelecido, como termo legal da liquidação extrajudicial, o dia 15 de junho de 2026.</w:t>
      </w:r>
    </w:p>
    <w:p>
      <w:r>
        <w:t>GABRIEL MURICCA GALÍPOLO</w:t>
      </w:r>
    </w:p>
    <w:p>
      <w:pPr>
        <w:pStyle w:val="Heading2"/>
      </w:pPr>
      <w:r>
        <w:t>ATO Nº 1.388, DE 14 DE AGOSTO DE 2026</w:t>
      </w:r>
    </w:p>
    <w:p>
      <w:pPr>
        <w:pStyle w:val="ListBullet"/>
      </w:pPr>
      <w:r>
        <w:t>Ementa: Decreta a liquidação extrajudicial da Simpala S.A. Crédito, Financiamento e Investimento.</w:t>
      </w:r>
    </w:p>
    <w:p>
      <w:r>
        <w:t>Categoria: Banco Central do Brasil/Gabinete do Presidente</w:t>
      </w:r>
    </w:p>
    <w:p>
      <w:r>
        <w:t>Página: 178</w:t>
      </w:r>
    </w:p>
    <w:p/>
    <w:p>
      <w:r>
        <w:t>ATO Nº 1.388, DE 14 DE AGOSTO DE 2026</w:t>
      </w:r>
    </w:p>
    <w:p>
      <w:r>
        <w:t>Decreta a liquidação extrajudicial da Simpala S.A. Crédito, Financiamento e Investimento.</w:t>
      </w:r>
    </w:p>
    <w:p>
      <w:r>
        <w:t>O Presidente do Banco Central do Brasil, no uso das atribuições que lhe confere o art. 12, caput, inciso XI, alínea "a", do Regimento Interno do Banco Central do Brasil, anexo à Resolução BCB nº 340, de 21 de setembro de 2023, com fundamento nos arts. 15, caput, inciso I, alíneas "a", "b" e "c", e § 2º, 16 e 51 da Lei nº 6.024, de 13 de março de 1974, considerando o vínculo de interesse, evidenciado pelo exercício do poder de controle e pela existência de administração comum com a Simpala Lançadora e Administradora de Consórcios Ltda., CNPJ 87.945.218/0001-05, conforme consta no PE 312931, resolve:</w:t>
      </w:r>
    </w:p>
    <w:p>
      <w:r>
        <w:t>Art. 1º Fica decretada a liquidação extrajudicial da Simpala S.A. Crédito, Financiamento e Investimento, CNPJ 34.991.938/0001-32, com sede em Porto Alegre (RS).</w:t>
      </w:r>
    </w:p>
    <w:p>
      <w:r>
        <w:t>Art. 2º Fica nomeada liquidante, com amplos poderes de administração e liquidação, a empresa GSCH Serviços de Apoio Administrativo Ltda., CNPJ 66.123.420/0001-73, tendo como responsável técnico Gustavo Scholz, CPF ***.197.760-**.</w:t>
      </w:r>
    </w:p>
    <w:p>
      <w:r>
        <w:t>Art. 3º Fica estabelecido, como termo legal da liquidação extrajudicial, o dia 15 de junho de 2026.</w:t>
      </w:r>
    </w:p>
    <w:p>
      <w:r>
        <w:t>GABRIEL MURICCA GALÍPOLO</w:t>
      </w:r>
    </w:p>
    <w:p>
      <w:pPr>
        <w:pStyle w:val="Heading2"/>
      </w:pPr>
      <w:r>
        <w:t>PORTARIA SGI/ANPD Nº 561, DE 14 DE AGOSTO DE 2026</w:t>
      </w:r>
    </w:p>
    <w:p>
      <w:pPr>
        <w:pStyle w:val="ListBullet"/>
      </w:pPr>
      <w:r>
        <w:t>Ementa: Altera a Portaria CP/CGGP/SGI/ANPD nº 467, de 13 de julho de 2026, que instituiu a Equipe de Planejamento da Contratação de empresa de prestação de serviços de organização e realização de Concurso Público.</w:t>
      </w:r>
    </w:p>
    <w:p>
      <w:r>
        <w:t>Categoria: Ministério da Justiça e Segurança Pública/Agência Nacional de Proteção de Dados</w:t>
      </w:r>
    </w:p>
    <w:p>
      <w:r>
        <w:t>Página: 65</w:t>
      </w:r>
    </w:p>
    <w:p/>
    <w:p>
      <w:r>
        <w:t>PORTARIA SGI/ANPD Nº 561, DE 14 DE AGOSTO DE 2026</w:t>
      </w:r>
    </w:p>
    <w:p>
      <w:r>
        <w:t>Altera a Portaria CP/CGGP/SGI/ANPD nº 467, de 13 de julho de 2026, que instituiu a Equipe de Planejamento da Contratação de empresa de prestação de serviços de organização e realização de Concurso Público.</w:t>
      </w:r>
    </w:p>
    <w:p>
      <w:r>
        <w:t>A SUPERINTENDENTE DE GESTÃO INTERNA DA AGÊNCIA NACIONAL DE PROTEÇÃO DE DADOS - ANPD, no uso das atribuições que lhe foram conferidas pelo Despacho Decisório CD/ANPD nº 68/2026, publicado em 20 de maio de 2026, e considerando o que determinam o art. 18 da Lei nº 14.133, de 1º de abril de 2021, o Decreto nº 11.246, de 27 de outubro de 2022, a Portaria MGI Nº 5.092, de 22 de junho de 2026, e o constante nos autos do processo nº 00261.000438/2026-64, resolve:</w:t>
      </w:r>
    </w:p>
    <w:p>
      <w:r>
        <w:t>Art. 1º Alterar o inciso IV do Art.2º da Portaria CP/CGGP/SGI/ANPD nº 467, de 13 de julho de 2026, que designou os servidores para a Equipe de Planejamento da Contratação de empesa de prestação de serviços de organização e realização de Concurso Público para a carreira efetiva de Especialista em Regulação de Proteção de Dados, nos termos da Lei nº 15.352, de 25 de fevereiro de 2026, conforme abaixo:</w:t>
      </w:r>
    </w:p>
    <w:p>
      <w:r>
        <w:t>...</w:t>
      </w:r>
    </w:p>
    <w:p>
      <w:r>
        <w:t>IV - Integrante Técnico Substituto: Daliani Torres Santana - matrícula: 1106363.</w:t>
      </w:r>
    </w:p>
    <w:p>
      <w:r>
        <w:t>Art. 2º Os demais incisos e artigos da Portaria CP/CGGP/SGI/ANPD nº 467, de 13 de julho de 2026, mantém-se inalterados.</w:t>
      </w:r>
    </w:p>
    <w:p>
      <w:r>
        <w:t>Art. 3º Esta Portaria entra em vigor na data de sua assinatura.</w:t>
      </w:r>
    </w:p>
    <w:p>
      <w:r>
        <w:t>FLAVIA DUARTE NASCIMENTO</w:t>
      </w:r>
    </w:p>
    <w:p>
      <w:pPr>
        <w:pStyle w:val="Heading2"/>
      </w:pPr>
      <w:r>
        <w:t>PORTARIA CGAUT/SUSEP nº 141, de 14 de AGOSTO de 2026</w:t>
      </w:r>
    </w:p>
    <w:p>
      <w:r>
        <w:t>Categoria: Ministério da Fazenda/Superintendência de Seguros Privados/Diretoria de Organização de Mercado e Regulação de Conduta/Coordenação-Geral de Autorizações</w:t>
      </w:r>
    </w:p>
    <w:p>
      <w:r>
        <w:t>Página: 51</w:t>
      </w:r>
    </w:p>
    <w:p/>
    <w:p>
      <w:r>
        <w:t>PORTARIA CGAUT/SUSEP nº 141, de 14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15414.625142/2026-37, resolve:</w:t>
      </w:r>
    </w:p>
    <w:p>
      <w:r>
        <w:t>Art. 1º Fica homologada a eleição de administrador de ZURICH SANTANDER BRASIL SEGUROS E PREVIDÊNCIA S.A., CNPJ nº 87.376.109/0001-06, com sede na cidade de São Paulo - SP, conforme deliberado na reunião do conselho de administração realizada em 8 de abril de 2026.</w:t>
      </w:r>
    </w:p>
    <w:p>
      <w:r>
        <w:t>Art. 2º Esta portaria entra em vigor na data de sua publicação.</w:t>
      </w:r>
    </w:p>
    <w:p>
      <w:r>
        <w:t>MAUREL ALEXIS WEICHERT</w:t>
      </w:r>
    </w:p>
    <w:p>
      <w:pPr>
        <w:pStyle w:val="Heading2"/>
      </w:pPr>
      <w:r>
        <w:t>PORTARIA CGAUT/SUSEP nº 142, de 14 de AGOSTO de 2026</w:t>
      </w:r>
    </w:p>
    <w:p>
      <w:r>
        <w:t>Categoria: Ministério da Fazenda/Superintendência de Seguros Privados/Diretoria de Organização de Mercado e Regulação de Conduta/Coordenação-Geral de Autorizações</w:t>
      </w:r>
    </w:p>
    <w:p>
      <w:r>
        <w:t>Página: 51</w:t>
      </w:r>
    </w:p>
    <w:p/>
    <w:p>
      <w:r>
        <w:t>PORTARIA CGAUT/SUSEP nº 142, de 14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15414.625131/2026-57, resolve:</w:t>
      </w:r>
    </w:p>
    <w:p>
      <w:r>
        <w:t>Art. 1º Fica homologada a eleição de administrador de ZURICH SANTANDER BRASIL SEGUROS S.A., CNPJ nº 06.136.920/0001-18, com sede na cidade de São Paulo - SP, conforme deliberado na reunião do conselho de administração realizada em 8 de abril de 2026.</w:t>
      </w:r>
    </w:p>
    <w:p>
      <w:r>
        <w:t>Art. 2º Esta portaria entra em vigor na data de sua publicação.</w:t>
      </w:r>
    </w:p>
    <w:p>
      <w:r>
        <w:t>MAUREL ALEXIS WEICHERT</w:t>
      </w:r>
    </w:p>
    <w:p>
      <w:pPr>
        <w:pStyle w:val="Heading2"/>
      </w:pPr>
      <w:r>
        <w:t>PORTARIA CGAUT/SUSEP nº 143, de 14 de AGOSTO de 2026</w:t>
      </w:r>
    </w:p>
    <w:p>
      <w:r>
        <w:t>Categoria: Ministério da Fazenda/Superintendência de Seguros Privados/Diretoria de Organização de Mercado e Regulação de Conduta/Coordenação-Geral de Autorizações</w:t>
      </w:r>
    </w:p>
    <w:p>
      <w:r>
        <w:t>Página: 51</w:t>
      </w:r>
    </w:p>
    <w:p/>
    <w:p>
      <w:r>
        <w:t>PORTARIA CGAUT/SUSEP nº 143, de 14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15414.625754/2026-20, resolve:</w:t>
      </w:r>
    </w:p>
    <w:p>
      <w:r>
        <w:t>Art. 1º Fica homologada a eleição de administrador de SUDASEG SEGURADORA DE DANOS E PESSOAS S.A., CNPJ nº 32.191.644/0001-09, com sede na cidade de Curitiba - PR, conforme deliberado na assembleia geral extraordinária realizada 30 de abril de 2026.</w:t>
      </w:r>
    </w:p>
    <w:p>
      <w:r>
        <w:t>Art. 2º Esta portaria entra em vigor na data de sua publicação.</w:t>
      </w:r>
    </w:p>
    <w:p>
      <w:r>
        <w:t>MAUREL ALEXIS WEICHERT</w:t>
      </w:r>
    </w:p>
    <w:p>
      <w:pPr>
        <w:pStyle w:val="Heading2"/>
      </w:pPr>
      <w:r>
        <w:t>PORTARIA CGAUT/SUSEP nº 144, de 14 de AGOSTO de 2026</w:t>
      </w:r>
    </w:p>
    <w:p>
      <w:r>
        <w:t>Categoria: Ministério da Fazenda/Superintendência de Seguros Privados/Diretoria de Organização de Mercado e Regulação de Conduta/Coordenação-Geral de Autorizações</w:t>
      </w:r>
    </w:p>
    <w:p>
      <w:r>
        <w:t>Página: 51</w:t>
      </w:r>
    </w:p>
    <w:p/>
    <w:p>
      <w:r>
        <w:t>PORTARIA CGAUT/SUSEP nº 144, de 14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combinado com o artigo 5º da Lei Complementar nº 126, de 15 de janeiro de 2007, com base no inciso V do artigo 5º da Resolução CNSP nº 422, de 11 de novembro de 2021, e o que consta do processo Susep nº 15414.624248/2026-13, resolve:</w:t>
      </w:r>
    </w:p>
    <w:p>
      <w:r>
        <w:t>Art. 1º Fica homologada a eleição de membros do conselho fiscal de IRB-BRASIL RESSEGUROS S.A., CNPJ nº 33.376.989/0001-91, com sede na cidade do Rio de Janeiro - RJ, conforme deliberado nas assembleias gerais ordinária e extraordinária realizadas cumulativamente em 31 de março de 2026.</w:t>
      </w:r>
    </w:p>
    <w:p>
      <w:r>
        <w:t>Art. 2º Esta portaria entra em vigor na data de sua publicação.</w:t>
      </w:r>
    </w:p>
    <w:p>
      <w:r>
        <w:t>MAUREL ALEXIS WEICHERT</w:t>
      </w:r>
    </w:p>
    <w:p>
      <w:pPr>
        <w:pStyle w:val="Heading2"/>
      </w:pPr>
      <w:r>
        <w:t>PORTARIA CGAUT/SUSEP nº 145, de 14 de AGOSTO de 2026</w:t>
      </w:r>
    </w:p>
    <w:p>
      <w:r>
        <w:t>Categoria: Ministério da Fazenda/Superintendência de Seguros Privados/Diretoria de Organização de Mercado e Regulação de Conduta/Coordenação-Geral de Autorizações</w:t>
      </w:r>
    </w:p>
    <w:p>
      <w:r>
        <w:t>Página: 51</w:t>
      </w:r>
    </w:p>
    <w:p/>
    <w:p>
      <w:r>
        <w:t>PORTARIA CGAUT/SUSEP nº 145, de 14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15414.628513/2026-32, resolve:</w:t>
      </w:r>
    </w:p>
    <w:p>
      <w:r>
        <w:t>Art. 1º Fica homologada a destituição e eleição de membros do comitê de auditoria de TOKIO MARINE SEGURADORA S.A., CNPJ nº 33.164.021/0001-00, com sede na cidade de São Paulo - SP, conforme deliberado na reunião do conselho de administração realizada em 30 de abril de 2026.</w:t>
      </w:r>
    </w:p>
    <w:p>
      <w:r>
        <w:t>Art. 2º Esta portaria entra em vigor na data de sua publicação.</w:t>
      </w:r>
    </w:p>
    <w:p>
      <w:r>
        <w:t>MAUREL ALEXIS WEICHERT</w:t>
      </w:r>
    </w:p>
    <w:p>
      <w:pPr>
        <w:pStyle w:val="Heading2"/>
      </w:pPr>
      <w:r>
        <w:t>PORTARIA CGAUT/SUSEP nº 146, de 14 de AGOSTO de 2026</w:t>
      </w:r>
    </w:p>
    <w:p>
      <w:r>
        <w:t>Categoria: Ministério da Fazenda/Superintendência de Seguros Privados/Diretoria de Organização de Mercado e Regulação de Conduta/Coordenação-Geral de Autorizações</w:t>
      </w:r>
    </w:p>
    <w:p>
      <w:r>
        <w:t>Página: 51</w:t>
      </w:r>
    </w:p>
    <w:p/>
    <w:p>
      <w:r>
        <w:t>PORTARIA CGAUT/SUSEP nº 146, de 14 de AGOSTO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15414.622617/2026-33, resolve:</w:t>
      </w:r>
    </w:p>
    <w:p>
      <w:r>
        <w:t>Art. 1º Fica homologada a eleição de administrador de STARR INTERNATIONAL BRASIL SEGURADORA S.A., CNPJ nº 17.341.270/0001-69, com sede na cidade de São Paulo - SP, conforme deliberado na assembleia geral extraordinária realizada em 26 de março de 2026.</w:t>
      </w:r>
    </w:p>
    <w:p>
      <w:r>
        <w:t>Art. 2º Esta portaria entra em vigor na data de sua publicação.</w:t>
      </w:r>
    </w:p>
    <w:p>
      <w:r>
        <w:t>MAUREL ALEXIS WEICHERT</w:t>
      </w:r>
    </w:p>
    <w:p>
      <w:pPr>
        <w:pStyle w:val="Heading2"/>
      </w:pPr>
      <w:r>
        <w:t>PORTARIA CGAUT/SUSEP nº 147, de 14 de AGOSTO de 2026</w:t>
      </w:r>
    </w:p>
    <w:p>
      <w:r>
        <w:t>Categoria: Ministério da Fazenda/Superintendência de Seguros Privados/Diretoria de Organização de Mercado e Regulação de Conduta/Coordenação-Geral de Autorizações</w:t>
      </w:r>
    </w:p>
    <w:p>
      <w:r>
        <w:t>Página: 51</w:t>
      </w:r>
    </w:p>
    <w:p/>
    <w:p>
      <w:r>
        <w:t>PORTARIA CGAUT/SUSEP nº 147, de 14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15414.620612/2026-76, resolve:</w:t>
      </w:r>
    </w:p>
    <w:p>
      <w:r>
        <w:t>Art. 1º Fica homologada a eleição de administradores de CHUBB RESSEGURADORA BRASIL S.A., CNPJ nº 10.808.462/0001-93, com sede na cidade de São Paulo - SP, conforme deliberado na assembleia geral ordinária realizada em 31 de março de 2026.</w:t>
      </w:r>
    </w:p>
    <w:p>
      <w:r>
        <w:t>Art. 2º Esta portaria entra em vigor na data de sua publicação.</w:t>
      </w:r>
    </w:p>
    <w:p>
      <w:r>
        <w:t>MAUREL ALEXIS WEICHERT</w:t>
      </w:r>
    </w:p>
    <w:p>
      <w:r>
        <w:br w:type="page"/>
      </w:r>
    </w:p>
    <w:p>
      <w:pPr>
        <w:pStyle w:val="Heading1"/>
      </w:pPr>
      <w:r>
        <w:t>2026-08-18</w:t>
      </w:r>
    </w:p>
    <w:p>
      <w:pPr>
        <w:pStyle w:val="Heading2"/>
      </w:pPr>
      <w:r>
        <w:t>RESOLUÇÃO CNSP Nº 496, DE 17 DE AGOSTO DE 2026</w:t>
      </w:r>
    </w:p>
    <w:p>
      <w:pPr>
        <w:pStyle w:val="ListBullet"/>
      </w:pPr>
      <w:r>
        <w:t>Ementa: Dispõe sobre as características gerais dos contratos de seguros de danos e sobre as disposições específicas aplicáveis aos contratos de seguros de riscos de petróleo, de riscos nomeados e operacionais, global de bancos, aeronáuticos, marítimos, de riscos nucleares e de crédito interno e crédito à exportação quando o segurado for pessoa jurídica.</w:t>
      </w:r>
    </w:p>
    <w:p>
      <w:r>
        <w:t>Categoria: Ministério da Fazenda/Superintendência de Seguros Privados</w:t>
      </w:r>
    </w:p>
    <w:p>
      <w:r>
        <w:t>Página: 7</w:t>
      </w:r>
    </w:p>
    <w:p/>
    <w:p>
      <w:r>
        <w:t>RESOLUÇÃO CNSP Nº 496, DE 17 DE AGOSTO DE 2026</w:t>
      </w:r>
    </w:p>
    <w:p>
      <w:r>
        <w:t>Dispõe sobre as características gerais dos contratos de seguros de danos e sobre as disposições específicas aplicáveis aos contratos de seguros de riscos de petróleo, de riscos nomeados e operacionais, global de bancos, aeronáuticos, marítimos, de riscos nucleares e de crédito interno e crédito à exportação quando o segurado for pessoa jurídica.</w:t>
      </w:r>
    </w:p>
    <w:p>
      <w:r>
        <w:t>O SUPERINTENDENTE DA SUPERINTENDÊNCIA DE SEGUROS PRIVADOS - SUSEP no uso da atribuição que lhe confere o art. 48, inciso XI, do Regimento Interno da Susep aprovado pela Resolução CNSP n° 490, de 12 de março de 2026, c/c o art. 34, inciso XI do Decreto n° 60.459, de 13 de março de 1967, torna público que o CONSELHO NACIONAL DE SEGUROS PRIVADOS - CNSP, em sessão extraordinária realizada em 17 de agosto de 2026, tendo em vista o disposto nos incisos I, II e IV do art. 32 do Decreto-Lei n° 73, de 21 de novembro de 1966; na Lei n° 15.040, de 9 de dezembro de 2024, e o que consta do Processo Susep n° 15414.616113/2025-01, resolve:</w:t>
      </w:r>
    </w:p>
    <w:p>
      <w:r>
        <w:t>Art. 1° Esta Resolução dispõe sobre as características gerais dos contratos de seguros de danos e sobre as disposições específicas aplicáveis aos contratos de:</w:t>
      </w:r>
    </w:p>
    <w:p>
      <w:r>
        <w:t>I - seguros de riscos de petróleo;</w:t>
      </w:r>
    </w:p>
    <w:p>
      <w:r>
        <w:t>II - seguros de riscos nomeados e operacionais;</w:t>
      </w:r>
    </w:p>
    <w:p>
      <w:r>
        <w:t>III - seguros global de bancos;</w:t>
      </w:r>
    </w:p>
    <w:p>
      <w:r>
        <w:t>IV - seguros aeronáuticos;</w:t>
      </w:r>
    </w:p>
    <w:p>
      <w:r>
        <w:t>V - seguros marítimos;</w:t>
      </w:r>
    </w:p>
    <w:p>
      <w:r>
        <w:t>VI - seguros de riscos nucleares; e</w:t>
      </w:r>
    </w:p>
    <w:p>
      <w:r>
        <w:t>VII - seguros de crédito interno e crédito à exportação quando o segurado for pessoa jurídica.</w:t>
      </w:r>
    </w:p>
    <w:p>
      <w:r>
        <w:t>Art. 2° Para fins desta Resolução:</w:t>
      </w:r>
    </w:p>
    <w:p>
      <w:r>
        <w:t>I - considera-se contrato ou contrato de seguro, o contrato de seguro de danos; e</w:t>
      </w:r>
    </w:p>
    <w:p>
      <w:r>
        <w:t>II - as cooperativas de seguro equiparam-se a seguradoras.</w:t>
      </w:r>
    </w:p>
    <w:p>
      <w:r>
        <w:t>Art. 3° A elaboração, estruturação, comercialização, execução e operação de todos os contratos de seguros de danos, em suas distintas modalidades, deverão observar as disposições desta Resolução, a legislação em vigor, as regulamentações complementares e as regulamentações específicas aplicáveis a cada matéria e a cada ramo de seguro.</w:t>
      </w:r>
    </w:p>
    <w:p>
      <w:r>
        <w:t>Parágrafo único. Aplicam-se exclusivamente a lei brasileira e as normas expedidas pelo CNSP e pela Susep:</w:t>
      </w:r>
    </w:p>
    <w:p>
      <w:r>
        <w:t>I - aos contratos de seguro celebrados por seguradora autorizada a operar no Brasil;</w:t>
      </w:r>
    </w:p>
    <w:p>
      <w:r>
        <w:t>II - quando o segurado ou o proponente tiver residência ou domicílio no País; ou</w:t>
      </w:r>
    </w:p>
    <w:p>
      <w:r>
        <w:t>III - quando os bens sobre os quais recaírem os interesses garantidos se situarem no Brasil.</w:t>
      </w:r>
    </w:p>
    <w:p>
      <w:r>
        <w:t>CAPÍTULO I</w:t>
      </w:r>
    </w:p>
    <w:p>
      <w:r>
        <w:t>DEFINIÇÕES</w:t>
      </w:r>
    </w:p>
    <w:p>
      <w:r>
        <w:t>Art. 4° Para fins desta Resolução, define-se:</w:t>
      </w:r>
    </w:p>
    <w:p>
      <w:r>
        <w:t>I - apólice: documento emitido pela seguradora quando da aceitação da proposta que contém os elementos essenciais do contrato de seguro, nos termos da regulamentação específica;</w:t>
      </w:r>
    </w:p>
    <w:p>
      <w:r>
        <w:t>II - beneficiário: pessoa natural ou jurídica a quem será devida a indenização em caso de sinistro;</w:t>
      </w:r>
    </w:p>
    <w:p>
      <w:r>
        <w:t>III - bilhete: documento emitido pela seguradora quando a proposta feita por ela é aceita pelo potencial segurado, sem que este preencha questionário de avaliação de risco, que contém os elementos essenciais do contrato de seguro, nos termos da regulamentação específica;</w:t>
      </w:r>
    </w:p>
    <w:p>
      <w:r>
        <w:t>IV - certificado individual: documento emitido pela seguradora, para cada segurado, no caso de contratação por meio de seguro coletivo, quando da aceitação da proposta, que contém os elementos essenciais do contrato de seguro, nos termos da regulamentação específica;</w:t>
      </w:r>
    </w:p>
    <w:p>
      <w:r>
        <w:t>V - condições contratuais: documento que contempla o conjunto de disposições que regem o contrato de seguro;</w:t>
      </w:r>
    </w:p>
    <w:p>
      <w:r>
        <w:t>VI - condições especiais: conjunto de disposições que complementam ou alteram as condições gerais;</w:t>
      </w:r>
    </w:p>
    <w:p>
      <w:r>
        <w:t>VII - condições gerais: conjunto de disposições comuns a todas as coberturas de um contrato de seguro;</w:t>
      </w:r>
    </w:p>
    <w:p>
      <w:r>
        <w:t>VIII - condições particulares: conjunto de disposições que complementam ou alteram as condições gerais e especiais;</w:t>
      </w:r>
    </w:p>
    <w:p>
      <w:r>
        <w:t>IX - contrato de seguro: acordo pelo qual a seguradora obriga-se, mediante o pagamento do prêmio equivalente, a garantir interesse legítimo do segurado ou do beneficiário contra riscos predeterminados;</w:t>
      </w:r>
    </w:p>
    <w:p>
      <w:r>
        <w:t>X - cooperativa de seguros: sociedade cooperativa autorizada pela Susep a operar com seguros privados;</w:t>
      </w:r>
    </w:p>
    <w:p>
      <w:r>
        <w:t>XI - cotação: estimativa de valor a ser cobrado a título de prêmio, calculado pela seguradora na fase pré-contratual a partir de informações preliminares fornecidas pelo interessado, podendo contemplar outras informações relativas ao conteúdo do contrato;</w:t>
      </w:r>
    </w:p>
    <w:p>
      <w:r>
        <w:t>XII - despesas de contratação: valores exclusivamente destinados a viabilizar a contratação do seguro, compreendendo despesas administrativas e custos relativos à intermediação, tributos diretamente incidentes sobre o prêmio e outras despesas incorridas ou realizadas pela seguradora;</w:t>
      </w:r>
    </w:p>
    <w:p>
      <w:r>
        <w:t>XIII - documento probatório do contrato: a apólice, o certificado individual e o bilhete;</w:t>
      </w:r>
    </w:p>
    <w:p>
      <w:r>
        <w:t>XIV - endosso: documento, emitido pela seguradora, que registra as modificações no contrato de seguro, sendo parte integrante deste;</w:t>
      </w:r>
    </w:p>
    <w:p>
      <w:r>
        <w:t>XV - estipulante: pessoa natural ou jurídica que contrata seguro em favor de terceiro;</w:t>
      </w:r>
    </w:p>
    <w:p>
      <w:r>
        <w:t>XVI - estipulante de seguro coletivo: estipulante que contrata seguro coletivo em favor de um grupo predeterminado ou determinável;</w:t>
      </w:r>
    </w:p>
    <w:p>
      <w:r>
        <w:t>XVII - indenização: contraprestação devida pela seguradora ao segurado ou beneficiário, em caso de ocorrência de sinistro;</w:t>
      </w:r>
    </w:p>
    <w:p>
      <w:r>
        <w:t>XVIII - interesse segurado: relação jurídica ou econômica existente entre o segurado ou o beneficiário e o objeto segurado, que é garantida pelo contrato de seguro;</w:t>
      </w:r>
    </w:p>
    <w:p>
      <w:r>
        <w:t>XIX - limite máximo de garantia: valor máximo de responsabilidade assumido pela seguradora em cada contrato de seguro;</w:t>
      </w:r>
    </w:p>
    <w:p>
      <w:r>
        <w:t>XX - liquidação de sinistro: processo que tem por objetivo quantificar os valores devidos pela seguradora em caso de sinistro;</w:t>
      </w:r>
    </w:p>
    <w:p>
      <w:r>
        <w:t>XXI - objeto: designação genérica de qualquer objeto, tangível ou intangível, sobre o qual incide o interesse legítimo, tal como bem, direito, obrigação, responsabilidade ou coisa;</w:t>
      </w:r>
    </w:p>
    <w:p>
      <w:r>
        <w:t>XXII - plano de seguro: documento que compreende as condições contratuais e a nota técnica atuarial de determinado seguro;</w:t>
      </w:r>
    </w:p>
    <w:p>
      <w:r>
        <w:t>XXIII - prêmio: contraprestação pela garantia prestada pela seguradora;</w:t>
      </w:r>
    </w:p>
    <w:p>
      <w:r>
        <w:t>XXIV - proponente: o potencial segurado ou estipulante que manifesta interesse na contratação do seguro;</w:t>
      </w:r>
    </w:p>
    <w:p>
      <w:r>
        <w:t>XXV - proposta: firme manifestação de interesse na formação, modificação ou renovação do contrato de seguro, contendo todos os elementos essenciais à celebração do negócio, nos termos da regulamentação específica;</w:t>
      </w:r>
    </w:p>
    <w:p>
      <w:r>
        <w:t>XXVI - questionário de avaliação do risco: conjunto de questões sobre as características do potencial segurado ou beneficiário, do objeto, do interesse segurado e do risco, submetido pela seguradora, o qual deve ser respondido pelo potencial segurado ou estipulante para fins da avaliação e aceitação do risco e que é parte integrante da proposta;</w:t>
      </w:r>
    </w:p>
    <w:p>
      <w:r>
        <w:t>XXVII - reclamação de sinistro: comunicação feita à seguradora para reclamar o pagamento da indenização em função da ocorrência de sinistro;</w:t>
      </w:r>
    </w:p>
    <w:p>
      <w:r>
        <w:t>XXVIII - regulação de sinistro: processo que tem por objetivo identificar as causas e os efeitos do fato comunicado na reclamação do sinistro;</w:t>
      </w:r>
    </w:p>
    <w:p>
      <w:r>
        <w:t>XXIX - relatório de liquidação de sinistro: documento elaborado pela seguradora resultante da liquidação de sinistro, o qual deve descrever, de forma objetiva, os critérios e a fundamentação da decisão sobre o valor a ser pago a título de indenização;</w:t>
      </w:r>
    </w:p>
    <w:p>
      <w:r>
        <w:t>XXX - relatório de regulação de sinistro: documento elaborado pela seguradora resultante da regulação de sinistro, o qual deve descrever, de forma objetiva, os critérios e a fundamentação da decisão sobre a aceitação ou recusa de cobertura;</w:t>
      </w:r>
    </w:p>
    <w:p>
      <w:r>
        <w:t>XXXI - rescisão: extinção do contrato por acordo entre as partes;</w:t>
      </w:r>
    </w:p>
    <w:p>
      <w:r>
        <w:t>XXXII - risco: evento de ocorrência possível, futura e incerta ou de data incerta, cuja realização pode provocar prejuízos de natureza econômica e que, salvo exceções previstas na legislação, independe da vontade das partes do contrato de seguro;</w:t>
      </w:r>
    </w:p>
    <w:p>
      <w:r>
        <w:t>XXXIII - risco excluído: risco não coberto pelo contrato de seguro;</w:t>
      </w:r>
    </w:p>
    <w:p>
      <w:r>
        <w:t>XXXIV - segurado: pessoa natural ou jurídica titular de interesse legítimo garantido contra os riscos predeterminados no contrato de seguro;</w:t>
      </w:r>
    </w:p>
    <w:p>
      <w:r>
        <w:t>XXXV - seguradora: pessoa jurídica autorizada pela Susep a funcionar no Brasil, legalmente constituída para assumir e gerir riscos por meio da celebração de contratos de seguro;</w:t>
      </w:r>
    </w:p>
    <w:p>
      <w:r>
        <w:t>XXXVI - seguro coletivo: seguro celebrado entre uma seguradora e o estipulante de seguro coletivo em favor de um grupo de pessoas físicas ou jurídicas, predeterminado ou determinável, denominado grupo segurado;</w:t>
      </w:r>
    </w:p>
    <w:p>
      <w:r>
        <w:t>XXXVII - sinistro: lesão ao interesse segurado causada pela ocorrência do risco coberto pelo contrato de seguro; e</w:t>
      </w:r>
    </w:p>
    <w:p>
      <w:r>
        <w:t>XXXVIII - terceiro interveniente: qualquer pessoa que possa prestar informações sobre questões envolvendo a formação e a execução do contrato de seguro.</w:t>
      </w:r>
    </w:p>
    <w:p>
      <w:r>
        <w:t>CAPÍTULO II</w:t>
      </w:r>
    </w:p>
    <w:p>
      <w:r>
        <w:t>DO CONTRATO DE SEGURO DE DANOS</w:t>
      </w:r>
    </w:p>
    <w:p>
      <w:r>
        <w:t>Objetivo</w:t>
      </w:r>
    </w:p>
    <w:p>
      <w:r>
        <w:t>Art. 5° O contrato de seguro de danos tem por objetivo garantir, mediante o pagamento do prêmio equivalente, interesse legítimo do segurado ou do beneficiário, vinculado a um ou mais objetos, contra riscos predeterminados.</w:t>
      </w:r>
    </w:p>
    <w:p>
      <w:r>
        <w:t>Condições contratuais</w:t>
      </w:r>
    </w:p>
    <w:p>
      <w:r>
        <w:t>Art. 6° As condições contratuais deverão ser elaboradas em conformidade com as normas vigentes, redigidas em linguagem clara, objetiva e de fácil entendimento, ter ordenamento lógico e prever todos os dispositivos necessários para a plena compreensão e execução do contrato de seguro.</w:t>
      </w:r>
    </w:p>
    <w:p>
      <w:r>
        <w:t>Parágrafo único. Na hipótese de estruturação das condições contratuais em condições gerais, especiais e particulares, as condições particulares prevalecerão sobre as especiais, e estas, sobre as gerais.</w:t>
      </w:r>
    </w:p>
    <w:p>
      <w:r>
        <w:t>Art. 7° As condições contratuais devem, obrigatoriamente, conter cláusulas que disponham sobre os elementos mínimos descritos nas normas complementares expedidas pela Susep.</w:t>
      </w:r>
    </w:p>
    <w:p>
      <w:r>
        <w:t>Art. 8° As condições contratuais deverão apresentar as disposições de todas as coberturas incluídas no plano de seguro, com a especificação dos riscos cobertos e interesses garantidos, dos riscos e interesses excluídos e, quando for o caso, dos objetos não compreendidos no seguro e dos prejuízos não indenizáveis.</w:t>
      </w:r>
    </w:p>
    <w:p>
      <w:r>
        <w:t>§ 1° Quando a seguradora se obrigar a garantir diferentes interesses e riscos, as condições contratuais deverão discriminar os requisitos exigidos para a garantia de cada um dos interesses e riscos abrangidos, de modo que a nulidade ou a ineficácia de uma garantia não prejudique as demais.</w:t>
      </w:r>
    </w:p>
    <w:p>
      <w:r>
        <w:t>§ 2° É admitida a estruturação de seguro na modalidade all risks (todos os riscos), na qual há cobertura para todos e quaisquer riscos que incidem sobre o interesse segurado, com exceção dos riscos expressamente excluídos.</w:t>
      </w:r>
    </w:p>
    <w:p>
      <w:r>
        <w:t>§ 3° As condições contratuais não poderão prever coberturas:</w:t>
      </w:r>
    </w:p>
    <w:p>
      <w:r>
        <w:t>I - para interesses patrimoniais relativos aos valores das multas e outras penalidades aplicadas em virtude de atos cometidos pessoalmente pelo segurado que caracterizem ilícito criminal; e</w:t>
      </w:r>
    </w:p>
    <w:p>
      <w:r>
        <w:t>II - contra risco de ato doloso do segurado, do beneficiário ou de representante de um ou de outro, salvo o dolo do representante do segurado ou do beneficiário em prejuízo desses.</w:t>
      </w:r>
    </w:p>
    <w:p>
      <w:r>
        <w:t>§ 4° No caso de comercialização das coberturas de que tratam os incisos I e II do § 3°, as garantias prestadas através dessas coberturas serão nulas, sem prejudicar as demais.</w:t>
      </w:r>
    </w:p>
    <w:p>
      <w:r>
        <w:t>Art. 9° As condições contratuais poderão prever coberturas relativas a diferentes ramos de seguros, observadas a legislação e as regulamentações específicas de cada ramo, além das regulamentações prudencial e contábil vigentes.</w:t>
      </w:r>
    </w:p>
    <w:p>
      <w:r>
        <w:t>Parágrafo único. A seguradora deverá possuir autorização para operar em todos os ramos relativos às coberturas previstas nas condições contratuais.</w:t>
      </w:r>
    </w:p>
    <w:p>
      <w:r>
        <w:t>Art. 10. As condições contratuais deverão conter cláusula específica que descreva, de forma clara, compreensível e em destaque, todas as situações e regras de perda de direito do segurado, sob pena de nulidade.</w:t>
      </w:r>
    </w:p>
    <w:p>
      <w:r>
        <w:t>Registro das condições contratuais</w:t>
      </w:r>
    </w:p>
    <w:p>
      <w:r>
        <w:t>Art. 11. A s condições contratuais, assim como suas alterações, deverão ser registradas eletronicamente na Susep previamente à sua comercialização.</w:t>
      </w:r>
    </w:p>
    <w:p>
      <w:r>
        <w:t>§ 1° As condições contratuais relativas aos seguros de que trata o Capítulo III, bem como as condições elaboradas e negociadas de forma personalizada para atender às necessidades específicas do segurado ou do beneficiário deverão ser registradas na Susep, observados os procedimentos e critérios específicos estabelecidos em regulamentação complementar.</w:t>
      </w:r>
    </w:p>
    <w:p>
      <w:r>
        <w:t>§ 2° Os critérios específicos previstos no § 1° podem contemplar:</w:t>
      </w:r>
    </w:p>
    <w:p>
      <w:r>
        <w:t>I - a possibilidade do registro na Susep ocorrer posteriormente à data de comercialização;</w:t>
      </w:r>
    </w:p>
    <w:p>
      <w:r>
        <w:t>II - o prazo para registro, nos casos do inciso I; e</w:t>
      </w:r>
    </w:p>
    <w:p>
      <w:r>
        <w:t>III - a restrição à disponibilização para consulta pública dos documentos registrados.</w:t>
      </w:r>
    </w:p>
    <w:p>
      <w:r>
        <w:t>§ 3° A pedido do segurado, do estipulante, da seguradora, ou de seus representantes regularmente constituídos, as condições contratuais previstas no § 1° poderão lhes ser disponibilizadas pela Susep.</w:t>
      </w:r>
    </w:p>
    <w:p>
      <w:r>
        <w:t>§ 4° As seguradoras deverão incorporar às condições contratuais dos seguros de danos todas as alterações decorrentes de normativos que entrarem em vigor após o registro eletrônico do produto na Susep, observando os prazos que vierem a ser estabelecidos pela regulamentação.</w:t>
      </w:r>
    </w:p>
    <w:p>
      <w:r>
        <w:t>Formação do contrato</w:t>
      </w:r>
    </w:p>
    <w:p>
      <w:r>
        <w:t>Art. 12. A proposta de formação do contrato poderá ser feita diretamente, pelo potencial segurado ou estipulante ou pela seguradora, ou por intermédio de seus representantes.</w:t>
      </w:r>
    </w:p>
    <w:p>
      <w:r>
        <w:t>§ 1° O corretor de seguros poderá representar o potencial segurado ou estipulante na formação do contrato, na forma da lei.</w:t>
      </w:r>
    </w:p>
    <w:p>
      <w:r>
        <w:t>§ 2° O simples pedido de cotação à seguradora não equivale à proposta, mas as informações prestadas pelas partes e por terceiros intervenientes integram o contrato de seguro que vier a ser celebrado.</w:t>
      </w:r>
    </w:p>
    <w:p>
      <w:r>
        <w:t>Art. 13. O potencial segurado ou estipulante deverá ser cientificado sobre as condições contratuais antes da contratação.</w:t>
      </w:r>
    </w:p>
    <w:p>
      <w:r>
        <w:t>Parágrafo único. Caso o disposto no caput não seja observado, o contrato de seguro será regido, naquilo que não contrariar a proposta:</w:t>
      </w:r>
    </w:p>
    <w:p>
      <w:r>
        <w:t>I - pela versão das condições contratuais vinculada ao processo administrativo de registro do plano de seguro indicado na proposta que esteja passível de comercialização na data da contratação do seguro; ou</w:t>
      </w:r>
    </w:p>
    <w:p>
      <w:r>
        <w:t>II - na ausência de indicação, na proposta, do processo administrativo de registro do plano de seguro, pela versão das condições contratuais mais favorável ao segurado, dentre aquelas registradas pela seguradora na Susep e que estejam passíveis de comercialização na data da contratação do seguro, aplicáveis à(s) cobertura(s) prevista(s) na proposta.</w:t>
      </w:r>
    </w:p>
    <w:p>
      <w:r>
        <w:t>Art. 14. Considera-se formado o contrato de seguro quando da aceitação da proposta.</w:t>
      </w:r>
    </w:p>
    <w:p>
      <w:r>
        <w:t>Parágrafo único. Aceita a proposta, a seguradora é obrigada a entregar ao contratante, no prazo de até trinta dias contados da data de aceitação, o documento probatório do contrato.</w:t>
      </w:r>
    </w:p>
    <w:p>
      <w:r>
        <w:t>Prova do contrato</w:t>
      </w:r>
    </w:p>
    <w:p>
      <w:r>
        <w:t>Art. 15. A existência e conteúdo do contrato de seguro de danos provam-se por todos os meios admitidos em direito, vedada a prova exclusivamente testemunhal.</w:t>
      </w:r>
    </w:p>
    <w:p>
      <w:r>
        <w:t>Parágrafo único. O conteúdo do contrato de seguro de danos pode ser provado, especialmente:</w:t>
      </w:r>
    </w:p>
    <w:p>
      <w:r>
        <w:t>I - pelas condições elaboradas e negociadas de forma personalizada para atender às necessidades específicas do segurado ou beneficiário;</w:t>
      </w:r>
    </w:p>
    <w:p>
      <w:r>
        <w:t>II - pela proposta e eventuais anexos, tais como o questionário de avaliação de risco;</w:t>
      </w:r>
    </w:p>
    <w:p>
      <w:r>
        <w:t>III - pelo documento probatório do contrato;</w:t>
      </w:r>
    </w:p>
    <w:p>
      <w:r>
        <w:t>IV - pelas condições contratuais registradas na Susep; e</w:t>
      </w:r>
    </w:p>
    <w:p>
      <w:r>
        <w:t>V - pelas informações prestadas pelas partes e por terceiros intervenientes, na fase pré-contratual ou durante a execução do contrato.</w:t>
      </w:r>
    </w:p>
    <w:p>
      <w:r>
        <w:t>Modificação do contrato</w:t>
      </w:r>
    </w:p>
    <w:p>
      <w:r>
        <w:t>Art. 16. É possível a realização de modificações no contrato de seguro de danos, no decorrer de sua vigência ou no momento da renovação não automática.</w:t>
      </w:r>
    </w:p>
    <w:p>
      <w:r>
        <w:t>§ 1° A proposta de modificação do contrato poderá ser feita diretamente, pelo segurado ou estipulante ou pela seguradora, ou por intermédio de seus representantes.</w:t>
      </w:r>
    </w:p>
    <w:p>
      <w:r>
        <w:t>§ 2° Qualquer modificação no contrato de seguro de danos somente poderá ser realizada com a concordância expressa do segurado, exceto no caso de seguro coletivo, o qual deve seguir a regulamentação específica.</w:t>
      </w:r>
    </w:p>
    <w:p>
      <w:r>
        <w:t>Art. 17. Considera-se modificado o contrato de seguro de danos a partir da aceitação da proposta de modificação, podendo a produção de efeitos ocorrer posteriormente.</w:t>
      </w:r>
    </w:p>
    <w:p>
      <w:r>
        <w:t>Parágrafo único. Modificado o contrato, a seguradora é obrigada a entregar o endosso ao contratante, no prazo de até trinta dias contados da data de aceitação da proposta.</w:t>
      </w:r>
    </w:p>
    <w:p>
      <w:r>
        <w:t>Renovação do contrato</w:t>
      </w:r>
    </w:p>
    <w:p>
      <w:r>
        <w:t>Art. 18. A renovação do contrato de seguro pode ocorrer de forma automática ou não automática.</w:t>
      </w:r>
    </w:p>
    <w:p>
      <w:r>
        <w:t>Parágrafo único. Renovado o contrato, a seguradora é obrigada a entregar novo documento probatório do contrato ao contratante, no prazo de até trinta dias contados da data da aceitação da proposta de renovação, quando se tratar de renovação não automática, ou da data da efetiva renovação do contrato, nos casos de renovação automática.</w:t>
      </w:r>
    </w:p>
    <w:p>
      <w:r>
        <w:t>Art. 19. A renovação automática caracteriza-se pela recondução tácita do contrato de seguro pelo mesmo prazo com manutenção das condições do seguro, sem qualquer alteração.</w:t>
      </w:r>
    </w:p>
    <w:p>
      <w:r>
        <w:t>§ 1° Caso haja pretensão de alterar os termos do contrato de seguro, a renovação deverá ser realizada de forma não automática.</w:t>
      </w:r>
    </w:p>
    <w:p>
      <w:r>
        <w:t>§ 2° Nos contratos de seguro com previsão de renovação automática:</w:t>
      </w:r>
    </w:p>
    <w:p>
      <w:r>
        <w:t>I - caso a seguradora não tenha interesse em renovar o contrato de seguro ou pretenda efetuar alterações, deverá notificar sua decisão ao segurado e, no caso de seguro coletivo, ao estipulante, mediante aviso prévio de, no mínimo, trinta dias do término de vigência do contrato de seguro;</w:t>
      </w:r>
    </w:p>
    <w:p>
      <w:r>
        <w:t>II - se a seguradora não efetuar a notificação nos termos do inciso I, o contrato será automaticamente renovado; e</w:t>
      </w:r>
    </w:p>
    <w:p>
      <w:r>
        <w:t>III - o segurado que não tiver interesse na renovação do seguro deverá comunicar tal fato à seguradora antes do início da vigência do novo contrato.</w:t>
      </w:r>
    </w:p>
    <w:p>
      <w:r>
        <w:t>Art. 20. A renovação não automática requer nova proposta e admite a realização de modificações no contrato de seguro.</w:t>
      </w:r>
    </w:p>
    <w:p>
      <w:r>
        <w:t>Interpretação e execução do contrato</w:t>
      </w:r>
    </w:p>
    <w:p>
      <w:r>
        <w:t>Art. 21. O contrato de seguro de danos deve ser interpretado e executado segundo a boa-fé.</w:t>
      </w:r>
    </w:p>
    <w:p>
      <w:r>
        <w:t>§ 1° Eventuais dúvidas, contradições ou ambiguidades decorrentes da interpretação de cláusulas ou do conteúdo de qualquer documento elaborado pela seguradora deverão ser resolvidas no sentido mais favorável ao segurado, beneficiário ou terceiro prejudicado.</w:t>
      </w:r>
    </w:p>
    <w:p>
      <w:r>
        <w:t>§ 2° Se houver divergência entre os termos do contrato de seguro e as condições contratuais registradas na Susep, prevalecerá o texto mais favorável ao segurado.</w:t>
      </w:r>
    </w:p>
    <w:p>
      <w:r>
        <w:t>§ 3° As cláusulas do contrato de seguro de danos referentes à exclusão de riscos e prejuízos ou que impliquem limitação ou perda de direitos e garantias são de interpretação restritiva quanto à sua incidência e abrangência, cabendo à seguradora a prova do seu suporte fático.</w:t>
      </w:r>
    </w:p>
    <w:p>
      <w:r>
        <w:t>Notificações</w:t>
      </w:r>
    </w:p>
    <w:p>
      <w:r>
        <w:t>Art. 22. Todas as notificações feitas pela seguradora ao proponente, ao segurado, ao beneficiário, ao estipulante, ao terceiro prejudicado ou ao responsável pelo pagamento do prêmio no contrato de seguro devem ser feitas por meio idôneo passível de comprovação de recebimento.</w:t>
      </w:r>
    </w:p>
    <w:p>
      <w:r>
        <w:t>Parágrafo único. As notificações de que trata o caput poderão ser encaminhadas ao corretor de seguros e ao representante do destinatário, nos limites de suas representações.</w:t>
      </w:r>
    </w:p>
    <w:p>
      <w:r>
        <w:t>Extinção do contrato de seguro</w:t>
      </w:r>
    </w:p>
    <w:p>
      <w:r>
        <w:t>Art. 23. O contrato de seguro não poderá ser extinto unilateralmente pela seguradora, exceto nas hipóteses previstas na legislação em vigor.</w:t>
      </w:r>
    </w:p>
    <w:p>
      <w:r>
        <w:t>Art. 24. O contrato de seguro poderá ser extinto, a qualquer tempo, por iniciativa de quaisquer das partes contratantes e com concordância recíproca.</w:t>
      </w:r>
    </w:p>
    <w:p>
      <w:r>
        <w:t>Parágrafo único. Salvo disposição contratual em contrário, a seguradora fará jus à parte do prêmio proporcional ao tempo decorrido acrescida das despesas de contratação, na mesma proporção.</w:t>
      </w:r>
    </w:p>
    <w:p>
      <w:r>
        <w:t>Art. 25. Resolvido o contrato de seguro por desaparecimento do risco ou extinção do interesse, será restituído ao segurado o prêmio correspondente ao risco a decorrer, ressalvado, na mesma proporção, o direito da seguradora às despesas de contratação.</w:t>
      </w:r>
    </w:p>
    <w:p>
      <w:r>
        <w:t>Reclamação, regulação, liquidação de sinistro e pagamento da indenização</w:t>
      </w:r>
    </w:p>
    <w:p>
      <w:r>
        <w:t>Art. 26. A reclamação de sinistro deve ser acompanhada dos documentos essenciais à regulação do sinistro descritos nas condições contratuais.</w:t>
      </w:r>
    </w:p>
    <w:p>
      <w:r>
        <w:t>Art. 27. Cabem exclusivamente à seguradora a regulação e a liquidação do sinistro.</w:t>
      </w:r>
    </w:p>
    <w:p>
      <w:r>
        <w:t>Parágrafo único. A seguradora poderá contratar regulador e liquidante de sinistro para desenvolverem as atividades descritas no caput em seu lugar, sempre reservando para si a decisão sobre a cobertura do fato comunicado pelo interessado no sinistro e o valor devido ao segurado ou ao beneficiário.</w:t>
      </w:r>
    </w:p>
    <w:p>
      <w:r>
        <w:t>Art. 28. A seguradora terá o prazo máximo de trinta dias para realizar a regulação de sinistro e se manifestar sobre a existência de cobertura, contados da data de apresentação da reclamação de sinistro, observado o disposto no art. 26, sob pena de decair do direito de recusar a cobertura.</w:t>
      </w:r>
    </w:p>
    <w:p>
      <w:r>
        <w:t>§ 1° A Susep poderá fixar, em regulamentação específica, prazo superior ao disposto no caput para tipos de seguro em que a verificação da existência de cobertura implique maior complexidade na apuração, respeitado o limite máximo de cento e vinte dias.</w:t>
      </w:r>
    </w:p>
    <w:p>
      <w:r>
        <w:t>§ 2° No caso dos seguros previstos no Capítulo III desta Resolução, o prazo descrito no caput será de até cento e vinte dias.</w:t>
      </w:r>
    </w:p>
    <w:p>
      <w:r>
        <w:t>Art. 29. Reconhecida a cobertura, a seguradora terá o prazo máximo de trinta dias para realizar a liquidação do sinistro e pagar a indenização, contado da data de término da regulação de sinistro ou de seu prazo máximo de conclusão definido no art. 28, o que ocorrer primeiro.</w:t>
      </w:r>
    </w:p>
    <w:p>
      <w:r>
        <w:t>§ 1° A Susep poderá fixar, em regulamentação específica, prazo superior ao disposto no caput para tipos de seguro em que a liquidação dos valores devidos implique maior complexidade na apuração, respeitado o limite máximo de cento e vinte dias.</w:t>
      </w:r>
    </w:p>
    <w:p>
      <w:r>
        <w:t>§ 2° No caso dos seguros previstos no Capítulo III desta Resolução, o prazo descrito no caput será de até cento e vinte dias.</w:t>
      </w:r>
    </w:p>
    <w:p>
      <w:r>
        <w:t>Art. 30. Os relatórios de regulação e de liquidação do sinistro, com todos os seus anexos constitutivos, são documentos comuns às partes e deverão observar o disposto na regulamentação complementar da Susep.</w:t>
      </w:r>
    </w:p>
    <w:p>
      <w:r>
        <w:t>CAPÍTULO III</w:t>
      </w:r>
    </w:p>
    <w:p>
      <w:r>
        <w:t>DISPOSIÇÕES ESPECÍFICAS</w:t>
      </w:r>
    </w:p>
    <w:p>
      <w:r>
        <w:t>Art. 31. Os seguros disciplinados neste capítulo são classificados como seguros de danos, categoria que compreende também outros ramos de seguro, conforme previsto na regulamentação específica.</w:t>
      </w:r>
    </w:p>
    <w:p>
      <w:r>
        <w:t>Parágrafo único. As disposições específicas de cada Seção deste Capítulo não se estendem aos demais seguros de danos.</w:t>
      </w:r>
    </w:p>
    <w:p>
      <w:r>
        <w:t>Seção I</w:t>
      </w:r>
    </w:p>
    <w:p>
      <w:r>
        <w:t>Seguros de Riscos de Petróleo</w:t>
      </w:r>
    </w:p>
    <w:p>
      <w:r>
        <w:t>Art. 32. Consideram-se sujeitos aos riscos de petróleo as operações, equipamentos e instalações, terrestres ou marítimas, diretamente relacionadas às atividades de prospecção, perfuração, produção, armazenamento e refino de óleo e gás.</w:t>
      </w:r>
    </w:p>
    <w:p>
      <w:r>
        <w:t>Art. 33. Incluem-se ainda nos riscos de petróleo, quando relacionados às atividades do artigo 32:</w:t>
      </w:r>
    </w:p>
    <w:p>
      <w:r>
        <w:t>I - a manutenção, a conservação e a construção de unidades de prospecção, perfuração, produção e armazenamento onshore (em terra firme) e offshore (ao largo da costa);</w:t>
      </w:r>
    </w:p>
    <w:p>
      <w:r>
        <w:t>II - os dutos onshore (em terra firme) e offshore (ao largo da costa) utilizados como meio de transporte ou transferência;</w:t>
      </w:r>
    </w:p>
    <w:p>
      <w:r>
        <w:t>III - as embarcações de apoio, dentre as quais se incluem: as unidades de perfuração, os navios de carga pesada, os navios para lançamento de dutos submarinos, as unidades de manutenção e segurança, e os demais tipos de embarcação envolvidos no transporte de óleo ou produção de petróleo offshore (ao largo da costa) ou serviço/instalação de oleodutos e monobóias;</w:t>
      </w:r>
    </w:p>
    <w:p>
      <w:r>
        <w:t>IV - as coberturas de responsabilidade civil; e</w:t>
      </w:r>
    </w:p>
    <w:p>
      <w:r>
        <w:t>V - as perdas financeiras.</w:t>
      </w:r>
    </w:p>
    <w:p>
      <w:r>
        <w:t>Seção II</w:t>
      </w:r>
    </w:p>
    <w:p>
      <w:r>
        <w:t>Seguros de Riscos Nomeados e Operacionais</w:t>
      </w:r>
    </w:p>
    <w:p>
      <w:r>
        <w:t>Art. 34. Os seguros enquadrados no ramo riscos nomeados e operacionais visam garantir o interesse do segurado referente a riscos patrimoniais e são classificados em seguros de riscos nomeados ou em seguros de riscos operacionais, sendo:</w:t>
      </w:r>
    </w:p>
    <w:p>
      <w:r>
        <w:t>I - riscos nomeados: aqueles nos quais há clara identificação dos riscos, possibilitando a enumeração das garantias oferecidas; e</w:t>
      </w:r>
    </w:p>
    <w:p>
      <w:r>
        <w:t>II - riscos operacionais: aqueles nos quais a complexidade dos riscos inviabiliza sua identificação, com a estipulação de cobertura de danos patrimoniais, estruturada na forma all risks (todos os riscos), garantindo cobertura para quaisquer eventos, relacionados ao risco da atividade exercida, com exceção dos riscos expressamente excluídos.</w:t>
      </w:r>
    </w:p>
    <w:p>
      <w:r>
        <w:t>Parágrafo único. Os seguros de que trata o caput deverão apresentar limite máximo de garantia superior a R$ 15.000.000,00 (quinze milhões de reais).</w:t>
      </w:r>
    </w:p>
    <w:p>
      <w:r>
        <w:t>Seção III</w:t>
      </w:r>
    </w:p>
    <w:p>
      <w:r>
        <w:t>Seguros Global de Bancos</w:t>
      </w:r>
    </w:p>
    <w:p>
      <w:r>
        <w:t>Art. 35. O seguro global de bancos é destinado a bancos e demais instituições financeiras e visa garantir, nos termos pactuados, os prejuízos sofridos pelo segurado em seus valores e bens face aos riscos de roubo, furto qualificado, destruição ou perecimento de valores e bens, dentre outros.</w:t>
      </w:r>
    </w:p>
    <w:p>
      <w:r>
        <w:t>Seção IV</w:t>
      </w:r>
    </w:p>
    <w:p>
      <w:r>
        <w:t>Seguros Aeronáuticos</w:t>
      </w:r>
    </w:p>
    <w:p>
      <w:r>
        <w:t>Art. 36. A cobertura de casco nos seguros aeronáuticos compreende a perda ou avaria da aeronave, quando em voo, em rolamento ou quando em permanência no solo, incluindo seus equipamentos e acessórios enquanto a bordo.</w:t>
      </w:r>
    </w:p>
    <w:p>
      <w:r>
        <w:t>Parágrafo único. Estão garantidos pela cobertura de que trata o caput os riscos de acidentes, qualquer que seja a causa, exceto os decorrentes dos riscos excluídos.</w:t>
      </w:r>
    </w:p>
    <w:p>
      <w:r>
        <w:t>Art. 37. Na cobertura de responsabilidade civil de hangares e operações aeroportuárias dos seguros aeronáuticos, a seguradora garante o interesse do segurado, quando este for responsabilizado por perdas e danos causados a terceiros e obrigado a pagar indenização, a título de reparação, por decisão judicial, decisão em juízo arbitral ou por acordo com os terceiros prejudicados, com a anuência da seguradora, desde que decorrentes da existência, da manutenção, do uso ou das operações e atos necessários às atividades de um hangar ou hangares, de propriedade do segurado, ou por ele alugados ou controlados e atendidas as demais disposições do contrato de seguro.</w:t>
      </w:r>
    </w:p>
    <w:p>
      <w:r>
        <w:t>§ 1° O contrato de seguro deverá definir, claramente, as formas de indenização e se esta será feita ao segurado ou diretamente ao terceiro prejudicado, de forma objetiva.</w:t>
      </w:r>
    </w:p>
    <w:p>
      <w:r>
        <w:t>§ 2° O seguro de que trata o caput cobre, ainda, as despesas emergenciais efetuadas pelo segurado ao tentar evitar ou minorar os danos causados a terceiros, conforme disposto no contrato.</w:t>
      </w:r>
    </w:p>
    <w:p>
      <w:r>
        <w:t>§ 3° Além dos fatos geradores da obrigação de indenizar a que se refere o caput, a seguradora poderá incluir a decisão administrativa do Poder Público que obrigue os segurados a indenizar os terceiros prejudicados.</w:t>
      </w:r>
    </w:p>
    <w:p>
      <w:r>
        <w:t>§ 4° A garantia a que se refere o caput poderá abranger os custos de defesa e os honorários dos advogados dos segurados, bem como as multas e penalidades cíveis e administrativas impostas ao segurado.</w:t>
      </w:r>
    </w:p>
    <w:p>
      <w:r>
        <w:t>§ 5° Caso seja oferecida a garantia do parágrafo anterior, as partes deverão definir expressamente nas condições contratuais, se os segurados terão direito a livre escolha dos seus advogados.</w:t>
      </w:r>
    </w:p>
    <w:p>
      <w:r>
        <w:t>Seção V</w:t>
      </w:r>
    </w:p>
    <w:p>
      <w:r>
        <w:t>Seguros Marítimos</w:t>
      </w:r>
    </w:p>
    <w:p>
      <w:r>
        <w:t>Art. 38. A cobertura de casco nos seguros marítimos compreende a perda ou avaria da embarcação, em viagem ou não, em quaisquer serviços e tráfegos no mar ou em rios, canais ou outra via navegável, em portos ou ancoradouros, ou em diques, estaleiros, carreiras ou rampas, incluindo seu casco, suas máquinas e todos os equipamentos e acessórios enquanto a bordo.</w:t>
      </w:r>
    </w:p>
    <w:p>
      <w:r>
        <w:t>Art. 39. Para fins deste seguro, considera-se como operador portuário a pessoa jurídica:</w:t>
      </w:r>
    </w:p>
    <w:p>
      <w:r>
        <w:t>I - pré-qualificada para a execução de operações portuárias em área de porto organizado; ou</w:t>
      </w:r>
    </w:p>
    <w:p>
      <w:r>
        <w:t>II - que movimenta ou armazena mercadorias destinadas ou provenientes de transporte aquaviário em instalações portuárias de uso privativo, situadas dentro ou fora de área de porto organizado.</w:t>
      </w:r>
    </w:p>
    <w:p>
      <w:r>
        <w:t>Parágrafo único. Entende-se por área de porto organizado aquela compreendida pelas instalações portuárias terrestres, pela infraestrutura de proteção e acesso de diferentes modais ao porto, e outras exigidas pela legislação.</w:t>
      </w:r>
    </w:p>
    <w:p>
      <w:r>
        <w:t>Art. 40. As operações portuárias incluem:</w:t>
      </w:r>
    </w:p>
    <w:p>
      <w:r>
        <w:t>I - o manuseio de carga e equipamentos;</w:t>
      </w:r>
    </w:p>
    <w:p>
      <w:r>
        <w:t>II - os serviços de entrega local relacionados ao inciso I;</w:t>
      </w:r>
    </w:p>
    <w:p>
      <w:r>
        <w:t>III - o fornecimento e a manutenção das atividades de apoio à navegação;</w:t>
      </w:r>
    </w:p>
    <w:p>
      <w:r>
        <w:t>IV - as instalações terrestres relacionadas ao fornecimento e à manutenção de docas, cais, diques, carreiras, atracadouros, terminais de passageiros, prédios, estruturas, equipamentos, sistemas rodoviários e ferroviários dentro da área portuária; e serviços de segurança;</w:t>
      </w:r>
    </w:p>
    <w:p>
      <w:r>
        <w:t>V - o fornecimento de serviços portuários de emergência; e</w:t>
      </w:r>
    </w:p>
    <w:p>
      <w:r>
        <w:t>VI - o arrendamento ou permissão de uso por terceiros de qualquer instalação ou equipamento.</w:t>
      </w:r>
    </w:p>
    <w:p>
      <w:r>
        <w:t>Parágrafo único. Mediante acordo entre segurado e seguradora, poderão ser definidas outras operações além das descritas nos incisos de I a VI.</w:t>
      </w:r>
    </w:p>
    <w:p>
      <w:r>
        <w:t>Seção VI</w:t>
      </w:r>
    </w:p>
    <w:p>
      <w:r>
        <w:t>Seguros de Riscos Nucleares</w:t>
      </w:r>
    </w:p>
    <w:p>
      <w:r>
        <w:t>Art. 41. O seguro de riscos nucleares tem por objetivo garantir o interesse do segurado relacionado a coberturas de danos patrimoniais e de responsabilidade civil, decorrentes dos riscos cobertos pela apólice e referentes à atividade de energia nuclear, cujas instalações possuam licença de operação conforme legislação específica do setor.</w:t>
      </w:r>
    </w:p>
    <w:p>
      <w:r>
        <w:t>Art. 42. Nos seguros de riscos nucleares, a cobertura de responsabilidade civil tem por objetivo garantir o interesse do segurado, quando este for responsabilizado por perdas e danos causados a terceiros e obrigado a pagar indenização, a título de reparação, por decisão judicial, decisão em juízo arbitral ou por acordo com os terceiros prejudicados, com a anuência da seguradora, em função do exercício de sua atividade de energia nuclear e resultantes de riscos cobertos pela respectiva apólice, desde que atendidas as demais disposições do contrato.</w:t>
      </w:r>
    </w:p>
    <w:p>
      <w:r>
        <w:t>§ 1° O contrato de seguro deverá definir, claramente, as formas de indenização e se esta será feita ao segurado ou diretamente ao terceiro prejudicado, de forma objetiva.</w:t>
      </w:r>
    </w:p>
    <w:p>
      <w:r>
        <w:t>§ 2° O seguro de que trata o caput cobre, ainda, as despesas emergenciais efetuadas pelo segurado ao tentar evitar ou minorar os danos causados a terceiros, conforme disposto no contrato.</w:t>
      </w:r>
    </w:p>
    <w:p>
      <w:r>
        <w:t>§ 3° Além dos fatos geradores da obrigação de indenizar a que se refere o caput, a seguradora poderá incluir a decisão administrativa do Poder Público que obrigue os segurados a indenizar os terceiros prejudicados.</w:t>
      </w:r>
    </w:p>
    <w:p>
      <w:r>
        <w:t>§ 4° A garantia a que se refere o caput poderá abranger os custos de defesa e os honorários dos advogados dos segurados, bem como as multas e penalidades cíveis e administrativas impostas ao segurado.</w:t>
      </w:r>
    </w:p>
    <w:p>
      <w:r>
        <w:t>§ 5° Caso seja oferecida a garantia do parágrafo anterior, as partes deverão definir expressamente nas condições contratuais, se os segurados terão direito a livre escolha dos seus advogados.</w:t>
      </w:r>
    </w:p>
    <w:p>
      <w:r>
        <w:t>Seção VII</w:t>
      </w:r>
    </w:p>
    <w:p>
      <w:r>
        <w:t>Seguros de crédito interno e crédito à exportação quando segurado for pessoa jurídica</w:t>
      </w:r>
    </w:p>
    <w:p>
      <w:r>
        <w:t>Art. 43. O seguro de crédito, doméstico ou exportação, é destinado a garantir perdas geradas por recebíveis segurados e não pagos, decorrentes da venda de produtos, prestação de serviços ou concessão de crédito, nos termos pactuados, sempre que houver pessoa jurídica como segurado.</w:t>
      </w:r>
    </w:p>
    <w:p>
      <w:r>
        <w:t>CAPÍTULO IV</w:t>
      </w:r>
    </w:p>
    <w:p>
      <w:r>
        <w:t>DISPOSIÇÕES FINAIS</w:t>
      </w:r>
    </w:p>
    <w:p>
      <w:r>
        <w:t>Art. 44. As seguradoras são responsáveis direta ou indiretamente pelos atos e omissões dos seus representantes e prepostos no exercício das atividades relacionadas aos contratos de seguros de danos.</w:t>
      </w:r>
    </w:p>
    <w:p>
      <w:r>
        <w:t>Art. 45. O corretor de seguros e o representante do segurado, do estipulante ou do beneficiário poderão atuar no âmbito do contrato de seguro, observados os limites de suas atribuições legais e dos poderes de representação que lhes tenham sido conferidos.</w:t>
      </w:r>
    </w:p>
    <w:p>
      <w:r>
        <w:t>Art. 46. Os planos de seguros de danos registrados na Susep antes do início de vigência desta Resolução deverão ser adaptados à presente norma até 4 de janeiro de 2027.</w:t>
      </w:r>
    </w:p>
    <w:p>
      <w:r>
        <w:t>Parágrafo único. Os planos de seguros de danos que não forem adaptados no prazo definido no caput estarão sujeitos à suspensão definitiva.</w:t>
      </w:r>
    </w:p>
    <w:p>
      <w:r>
        <w:t>Art. 47. Os novos planos de seguro de danos registrados na Susep a partir do início de vigência desta Resolução deverão obedecer aos critérios nela definidos.</w:t>
      </w:r>
    </w:p>
    <w:p>
      <w:r>
        <w:t>Art. 48. As condições contratuais relativas aos contratos de seguros de danos que não estavam sujeitos ao registro eletrônico de produtos junto à Susep, nos termos do art. 7° da Resolução CNSP n° 407, de 29 de março de 2021, e não enquadradas no art. 11, § 1°, deverão ser registradas eletronicamente na Susep, adaptadas à presente norma, previamente às emissões ou renovações realizadas a partir de 5 de janeiro de 2027.</w:t>
      </w:r>
    </w:p>
    <w:p>
      <w:r>
        <w:t>Art. 49. As condições contratuais que tenham sido elaboradas e negociadas de forma personalizada, após o início de vigência desta Resolução, nos termos do art. 11, § 1°, deverão ser registradas eletronicamente na Susep, adaptadas à presente norma, após a entrada em vigor da regulamentação específica da Susep.</w:t>
      </w:r>
    </w:p>
    <w:p>
      <w:r>
        <w:t>Art. 50. As disposições desta Resolução aplicam-se obrigatoriamente aos contratos de seguros de danos formados ou renovados a partir de 5 de janeiro de 2027.</w:t>
      </w:r>
    </w:p>
    <w:p>
      <w:r>
        <w:t>Parágrafo único. Os contratos de seguros de danos emitidos ou renovados antes da data prevista no caput observarão os termos desta Resolução quando vinculados a planos de seguros de danos adaptados à presente norma, nos termos dos arts. 46 e 47.</w:t>
      </w:r>
    </w:p>
    <w:p>
      <w:r>
        <w:t>Art. 51. A Susep expedirá normas complementares para regulamentar as operações e os contratos de seguros de danos, podendo dispor inclusive sobre regras e critérios específicos para a sua elaboração, estruturação, comercialização e execução.</w:t>
      </w:r>
    </w:p>
    <w:p>
      <w:r>
        <w:t>Art. 52. No exercício de suas competências legais, compete à Susep supervisionar os documentos relacionados aos contratos de seguros de danos, podendo inclusive determinar, se necessário e de forma fundamentada, alterações e suspensão de comercialização dos planos de seguro.</w:t>
      </w:r>
    </w:p>
    <w:p>
      <w:r>
        <w:t>Art. 53. Fica revogada a Resolução CNSP n° 407, de 29 de março de 2021.</w:t>
      </w:r>
    </w:p>
    <w:p>
      <w:r>
        <w:t>Art. 54. Esta Resolução entra em vigor na data de sua publicação.</w:t>
      </w:r>
    </w:p>
    <w:p>
      <w:r>
        <w:t>ALESSANDRO SERAFIN OCTAVIANI LUIS</w:t>
      </w:r>
    </w:p>
    <w:p>
      <w:r>
        <w:br w:type="page"/>
      </w:r>
    </w:p>
    <w:p>
      <w:pPr>
        <w:pStyle w:val="Heading1"/>
      </w:pPr>
      <w:r>
        <w:t>2026-08-19</w:t>
      </w:r>
    </w:p>
    <w:p>
      <w:pPr>
        <w:pStyle w:val="Heading2"/>
      </w:pPr>
      <w:r>
        <w:t>PORTARIA CGAUT/SUSEP nº 148, de 17 de AGOSTO de 2026</w:t>
      </w:r>
    </w:p>
    <w:p>
      <w:r>
        <w:t>Categoria: Ministério da Fazenda/Superintendência de Seguros Privados/Diretoria de Organização de Mercado e Regulação de Conduta/Coordenação-Geral de Autorizações</w:t>
      </w:r>
    </w:p>
    <w:p>
      <w:r>
        <w:t>Página: 51</w:t>
      </w:r>
    </w:p>
    <w:p/>
    <w:p>
      <w:r>
        <w:t>PORTARIA CGAUT/SUSEP nº 148, de 17 de AGOSTO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15414.672190/2025-33, resolve:</w:t>
      </w:r>
    </w:p>
    <w:p>
      <w:r>
        <w:t>Art. 1º Ficam homologadas as deliberações tomadas pelo acionista único de JUSTOS SEGUROS S.A., CNPJ nº 45.865.343/0001-57, com sede na cidade de São Paulo - SP, na assembleia geral extraordinária realizada em 30 de junho de 2026, que tornou ineficaz as deliberações tomadas na assembleia geral extraordinária realizada em 11 de novembro de 2025.</w:t>
      </w:r>
    </w:p>
    <w:p>
      <w:r>
        <w:t>Art. 2º Fica ratificado que o capital social de JUSTOS SEGUROS S.A. é de R$ 40.100.000,00, dividido em 68.972.275 ações ordinárias, nominativas e sem valor nominal.</w:t>
      </w:r>
    </w:p>
    <w:p>
      <w:r>
        <w:t>Art. 3º Esta portaria entra em vigor na data de sua publicação.</w:t>
      </w:r>
    </w:p>
    <w:p>
      <w:r>
        <w:t>MAUREL ALEXIS WEICHERT</w:t>
      </w:r>
    </w:p>
    <w:p>
      <w:pPr>
        <w:pStyle w:val="Heading2"/>
      </w:pPr>
      <w:r>
        <w:t>PORTARIA CGAUT/SUSEP nº 149, de 17 de AGOSTO de 2026</w:t>
      </w:r>
    </w:p>
    <w:p>
      <w:r>
        <w:t>Categoria: Ministério da Fazenda/Superintendência de Seguros Privados/Diretoria de Organização de Mercado e Regulação de Conduta/Coordenação-Geral de Autorizações</w:t>
      </w:r>
    </w:p>
    <w:p>
      <w:r>
        <w:t>Página: 51</w:t>
      </w:r>
    </w:p>
    <w:p/>
    <w:p>
      <w:r>
        <w:t>PORTARIA CGAUT/SUSEP nº 149, de 17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15414.624129/2026-61, resolve:</w:t>
      </w:r>
    </w:p>
    <w:p>
      <w:r>
        <w:t>Art. 1º Fica homologada a reeleição de administradores de ALIANÇA DO BRASIL SEGUROS S.A., CNPJ nº 01.378.407/0001-10, com sede na cidade de São Paulo - SP, conforme deliberado na assembleia geral ordinária realizada em 31 de março de 2026.</w:t>
      </w:r>
    </w:p>
    <w:p>
      <w:r>
        <w:t>Art. 2º Esta portaria entra em vigor na data de sua publicação.</w:t>
      </w:r>
    </w:p>
    <w:p>
      <w:r>
        <w:t>MAUREL ALEXIS WEICHERT</w:t>
      </w:r>
    </w:p>
    <w:p>
      <w:pPr>
        <w:pStyle w:val="Heading2"/>
      </w:pPr>
      <w:r>
        <w:t>PORTARIA CGAUT/SUSEP nº 150, de 17 de AGOSTO de 2026</w:t>
      </w:r>
    </w:p>
    <w:p>
      <w:r>
        <w:t>Categoria: Ministério da Fazenda/Superintendência de Seguros Privados/Diretoria de Organização de Mercado e Regulação de Conduta/Coordenação-Geral de Autorizações</w:t>
      </w:r>
    </w:p>
    <w:p>
      <w:r>
        <w:t>Página: 51</w:t>
      </w:r>
    </w:p>
    <w:p/>
    <w:p>
      <w:r>
        <w:t>PORTARIA CGAUT/SUSEP nº 150, de 17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15414.620858/2026-48, resolve:</w:t>
      </w:r>
    </w:p>
    <w:p>
      <w:r>
        <w:t>Art. 1º Fica homologada a eleição de administradores de CHUBB SEGUROS BRASIL S.A., CNPJ nº 03.502.099/0001-18, com sede na cidade de São Paulo - SP, conforme deliberado na reunião do conselho de administração realizada em 31 de março de 2026.</w:t>
      </w:r>
    </w:p>
    <w:p>
      <w:r>
        <w:t>Art. 2º Esta portaria entra em vigor na data de sua publicação.</w:t>
      </w:r>
    </w:p>
    <w:p>
      <w:r>
        <w:t>MAUREL ALEXIS WEICHERT</w:t>
      </w:r>
    </w:p>
    <w:p>
      <w:pPr>
        <w:pStyle w:val="Heading2"/>
      </w:pPr>
      <w:r>
        <w:t>PORTARIA CGAUT/SUSEP nº 152, de 17 de AGOSTO de 2026</w:t>
      </w:r>
    </w:p>
    <w:p>
      <w:r>
        <w:t>Categoria: Ministério da Fazenda/Superintendência de Seguros Privados/Diretoria de Organização de Mercado e Regulação de Conduta/Coordenação-Geral de Autorizações</w:t>
      </w:r>
    </w:p>
    <w:p>
      <w:r>
        <w:t>Página: 51</w:t>
      </w:r>
    </w:p>
    <w:p/>
    <w:p>
      <w:r>
        <w:t>PORTARIA CGAUT/SUSEP nº 152, de 17 de AGOSTO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15414.675440/2025-97, resolve:</w:t>
      </w:r>
    </w:p>
    <w:p>
      <w:r>
        <w:t>Art. 1º Ficam homologadas as seguintes deliberações tomadas pelos acionistas de PIER SEGURADORA S.A., CNPJ nº 39.380.513/0001-00, com sede na cidade de São Paulo - SP, na assembleia geral extraordinária realizada em 22 de dezembro de 2025:</w:t>
      </w:r>
    </w:p>
    <w:p>
      <w:r>
        <w:t>I - aumento do capital social em R$12.659.211,50, elevando-o para R$212.938.365,65, dividido em 1.174.142.636 ações ordinárias, nominativas e sem valor nominal; e</w:t>
      </w:r>
    </w:p>
    <w:p>
      <w:r>
        <w:t>II - reforma e consolidação do estatuto social.</w:t>
      </w:r>
    </w:p>
    <w:p>
      <w:r>
        <w:t>Art. 2º Esta portaria entra em vigor na data de sua publicação.</w:t>
      </w:r>
    </w:p>
    <w:p>
      <w:r>
        <w:t>MAUREL ALEXIS WEICHERT</w:t>
      </w:r>
    </w:p>
    <w:p>
      <w:pPr>
        <w:pStyle w:val="Heading2"/>
      </w:pPr>
      <w:r>
        <w:t>PORTARIA CGCCR/SUSEP nº 26, de 13 de AGOSTO de 2026</w:t>
      </w:r>
    </w:p>
    <w:p>
      <w:r>
        <w:t>Categoria: Ministério da Fazenda/Superintendência de Seguros Privados/Diretoria de Organização de Mercado e Regulação de Conduta/Coordenação-Geral de Credenciamentos, Cadastros e Regimes Especiais</w:t>
      </w:r>
    </w:p>
    <w:p>
      <w:r>
        <w:t>Página: 51</w:t>
      </w:r>
    </w:p>
    <w:p/>
    <w:p>
      <w:r>
        <w:t>PORTARIA CGCCR/SUSEP nº 26, de 13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 do art. 4º da Lei Complementar nº 126, de 15 de janeiro de 2007, no inciso II do art. 5º, no §2º do art. 26 e no §7º do art. 28, todos da Resolução CNSP nº 422, de 11 de novembro de 2021, e o que consta do processo Susep nº 15414.630470/2026-55, resolve:</w:t>
      </w:r>
    </w:p>
    <w:p>
      <w:r>
        <w:t>Art.1° Fica homologada a atualização cadastral anual de 2026 de Hannover Rück SE, CNPJ nº 09.486.274/0001-07, sociedade organizada e existente segundo as leis da Alemanha, cadastrada como ressegurador admitido, conforme Portaria nº 2990, de 16 de julho de 2008.</w:t>
      </w:r>
    </w:p>
    <w:p>
      <w:r>
        <w:t>Art. 2º Fica ratificado que o Sr. João Caproni Caixeta Junior exerce a função de procurador e representante.</w:t>
      </w:r>
    </w:p>
    <w:p>
      <w:r>
        <w:t>Art. 3º Esta portaria entra em vigor na data de sua publicação.</w:t>
      </w:r>
    </w:p>
    <w:p>
      <w:r>
        <w:t>JONAS DOS SANTOS SOUSA</w:t>
      </w:r>
    </w:p>
    <w:p>
      <w:r>
        <w:br w:type="page"/>
      </w:r>
    </w:p>
    <w:p>
      <w:pPr>
        <w:pStyle w:val="Heading1"/>
      </w:pPr>
      <w:r>
        <w:t>2026-08-20</w:t>
      </w:r>
    </w:p>
    <w:p>
      <w:pPr>
        <w:pStyle w:val="Heading2"/>
      </w:pPr>
      <w:r>
        <w:t>RESOLUÇÃO SUSEP Nº 90, DE 18 DE AGOSTO DE 2026</w:t>
      </w:r>
    </w:p>
    <w:p>
      <w:pPr>
        <w:pStyle w:val="ListBullet"/>
      </w:pPr>
      <w:r>
        <w:t>Ementa: Altera a Circular Susep nº 638, de 27 de julho de 2021.</w:t>
      </w:r>
    </w:p>
    <w:p>
      <w:r>
        <w:t>Categoria: Ministério da Fazenda/Superintendência de Seguros Privados</w:t>
      </w:r>
    </w:p>
    <w:p>
      <w:r>
        <w:t>Página: 33</w:t>
      </w:r>
    </w:p>
    <w:p/>
    <w:p>
      <w:r>
        <w:t>RESOLUÇÃO SUSEP Nº 90, DE 18 DE AGOSTO DE 2026</w:t>
      </w:r>
    </w:p>
    <w:p>
      <w:r>
        <w:t>Altera a Circular Susep nº 638, de 27 de julho de 2021.</w:t>
      </w:r>
    </w:p>
    <w:p>
      <w:r>
        <w:t>O SUPERINTENDENTE DA SUPERINTENDÊNCIA DE SEGUROS PRIVADOS - SUSEP, torna público que o Conselho Diretor desta Autarquia, em reunião ordinária realizada em 12 de agosto de 2026, no uso das atribuições que lhe conferem o art. 36, incisos II, do Decreto-Lei nº 73, de 21 de novembro de 1966, o art. 3º, parágrafo único, da Lei Complementar nº 126, de 15 de janeiro de 2007, o art. 3º, § 2º, do Decreto-Lei nº 261, de 28 de fevereiro de 1967, e o art. 74 da Lei Complementar nº 109, de 29 de maio de 2001, e considerando o que consta do Processo Susep nº 15414.625907/2026-39, resolve:</w:t>
      </w:r>
    </w:p>
    <w:p>
      <w:r>
        <w:t>Art. 1° A Circular Susep nº 638, de 27 de julho de 2021, passa a vigorar com as seguintes alterações:</w:t>
      </w:r>
    </w:p>
    <w:p>
      <w:r>
        <w:t>"Art. 10 .......................................................................</w:t>
      </w:r>
    </w:p>
    <w:p>
      <w:r>
        <w:t>.....................................................................................</w:t>
      </w:r>
    </w:p>
    <w:p>
      <w:r>
        <w:t>III - assegurar que os contratos, incluindo alterações e aditivos, estejam acessíveis quando solicitados pela Susep.</w:t>
      </w:r>
    </w:p>
    <w:p>
      <w:r>
        <w:t>Parágrafo único. A acessibilidade de que trata o inciso III inclui manter arquivados e apresentar à Susep, sempre que solicitadas, as informações e os documentos necessários à avaliação do serviço, dos riscos envolvidos e da conformidade com a regulamentação aplicável." (NR)</w:t>
      </w:r>
    </w:p>
    <w:p>
      <w:r>
        <w:t>Art. 2° Esta Resolução entra em vigor na data de sua publicação.</w:t>
      </w:r>
    </w:p>
    <w:p>
      <w:r>
        <w:t>ALESSANDRO SERAFIN OCTAVIANI LUIS</w:t>
      </w:r>
    </w:p>
    <w:p>
      <w:pPr>
        <w:pStyle w:val="Heading2"/>
      </w:pPr>
      <w:r>
        <w:t>PORTARIA CGCCR/SUSEP nº 27, de 18 de AGOSTO de 2026</w:t>
      </w:r>
    </w:p>
    <w:p>
      <w:r>
        <w:t>Categoria: Ministério da Fazenda/Superintendência de Seguros Privados/Diretoria de Organização de Mercado e Regulação de Conduta/Coordenação-Geral de Credenciamentos, Cadastros e Regimes Especiais</w:t>
      </w:r>
    </w:p>
    <w:p>
      <w:r>
        <w:t>Página: 34</w:t>
      </w:r>
    </w:p>
    <w:p/>
    <w:p>
      <w:r>
        <w:t>PORTARIA CGCCR/SUSEP nº 27, de 18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III do art. 4º da Lei Complementar nº 126, de 15 de janeiro de 2007, no inciso II do art. 5º, no §2º do art. 26 e no §7º do art. 28, todos da Resolução CNSP nº 422, de 11 de novembro de 2021, e o que consta do processo Susep nº 15414.636772/2025-56, resolve:</w:t>
      </w:r>
    </w:p>
    <w:p>
      <w:r>
        <w:t>Art.1° Fica homologada a atualização cadastral anual de 2025 de AXA XL INSURANCE COMPANY UK LIMITED, atual denominação de XL CATLIN INSURANCE COMPANY UK LIMITED, sociedade organizada e constituída segundo as leis da Inglaterra e País de Gales, cadastrada junto à SUSEP como Resseguradora Eventual, nos termos da Portaria SUSEPN.º 28, de 30 de março de 2021.</w:t>
      </w:r>
    </w:p>
    <w:p>
      <w:r>
        <w:t>Art. 2º Fica ratificado que o Sr. Renato José Sant'Anna Rosa e a Sra. Thisiani Gisele Matsumura Martins exercem a função de procuradores do Ressegurador.</w:t>
      </w:r>
    </w:p>
    <w:p>
      <w:r>
        <w:t>Art. 3º Esta portaria entra em vigor na data de sua publicação.</w:t>
      </w:r>
    </w:p>
    <w:p>
      <w:r>
        <w:t>JONAS DOS SANTOS SOUSA</w:t>
      </w:r>
    </w:p>
    <w:p>
      <w:pPr>
        <w:pStyle w:val="Heading2"/>
      </w:pPr>
      <w:r>
        <w:t>PORTARIA CGAUT/SUSEP nº 153, de 19 de AGOSTO de 2026</w:t>
      </w:r>
    </w:p>
    <w:p>
      <w:r>
        <w:t>Categoria: Ministério da Fazenda/Superintendência de Seguros Privados/Diretoria de Organização de Mercado e Regulação de Conduta/Coordenação-Geral de Autorizações</w:t>
      </w:r>
    </w:p>
    <w:p>
      <w:r>
        <w:t>Página: 34</w:t>
      </w:r>
    </w:p>
    <w:p/>
    <w:p>
      <w:r>
        <w:t>PORTARIA CGAUT/SUSEP nº 153, de 19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15414.620956/2026-85, resolve:</w:t>
      </w:r>
    </w:p>
    <w:p>
      <w:r>
        <w:t>Art. Fica homologada a destituição de administradores de ITAÚ VIDA E PREVIDÊNCIA S.A., CNPJ nº 92.661.388/0001-90, com sede na cidade de São Paulo - SP, conforme deliberado na assembleia geral extraordinária realizada em 19 de março de 2026 e nas assembleias gerais ordinária e extraordinária realizadas em 31 de março de 2026.</w:t>
      </w:r>
    </w:p>
    <w:p>
      <w:r>
        <w:t>Art. 2º Esta portaria entra em vigor na data de sua publicação.</w:t>
      </w:r>
    </w:p>
    <w:p>
      <w:r>
        <w:t>MAUREL ALEXIS WEICHERT</w:t>
      </w:r>
    </w:p>
    <w:p>
      <w:pPr>
        <w:pStyle w:val="Heading2"/>
      </w:pPr>
      <w:r>
        <w:t>INSTRUÇÃO NORMATIVA BCB Nº 769, DE 19 DE AGOSTO DE 2026</w:t>
      </w:r>
    </w:p>
    <w:p>
      <w:pPr>
        <w:pStyle w:val="ListBullet"/>
      </w:pPr>
      <w:r>
        <w:t>Ementa: Divulga a versão 2.10.0 do Manual de Padrões para Iniciação do Pix, que compõe o Regulamento do Pix..</w:t>
      </w:r>
    </w:p>
    <w:p>
      <w:r>
        <w:t>Categoria: Banco Central do Brasil/Área de Organização do Sistema Financeiro e de Resolução/Departamento de Competição e de Estrutura do Mercado Financeiro</w:t>
      </w:r>
    </w:p>
    <w:p>
      <w:r>
        <w:t>Página: 78</w:t>
      </w:r>
    </w:p>
    <w:p/>
    <w:p>
      <w:r>
        <w:t>INSTRUÇÃO NORMATIVA BCB Nº 769, DE 19 DE AGOSTO DE 2026</w:t>
      </w:r>
    </w:p>
    <w:p>
      <w:r>
        <w:t>Divulga a versão 2.10.0 do Manual de Padrões para Iniciação do Pix, que compõe o Regulamento do Pix..</w:t>
      </w:r>
    </w:p>
    <w:p>
      <w:r>
        <w:t>O Chefe do Departamento de Competição e de Estrutura do Mercado Financeiro (Decem), no uso das atribuições que lhe conferem os arts. 23, caput, inciso I, alínea "a", e 94, caput, inciso IX, do Regimento Interno do Banco Central do Brasil, anexo à Resolução BCB nº 340, de 21 de setembro de 2023, e tendo em vista o disposto no art. 2º, caput, inciso II, do Regulamento anexo à Resolução BCB nº 1, de 12 de agosto de 2020, resolve:</w:t>
      </w:r>
    </w:p>
    <w:p>
      <w:r>
        <w:t>Art. 1º Esta Instrução Normativa divulga a versão 2.10.0 do Manual de Padrões para Iniciação do Pix, que compõe o Regulamento do Pix, conforme art. 2º do Regulamento anexo à Resolução BCB nº 1, de 12 de agosto de 2020.</w:t>
      </w:r>
    </w:p>
    <w:p>
      <w:r>
        <w:t>Parágrafo único. O Manual de Padrões para Iniciação do Pix está disponível no endereço eletrônico do Banco Central do Brasil na internet, na página destinada aos manuais que compõem o Regulamento do Pix: https://www.bcb.gov.br/content/estabilidadefinanceira/pix/Regulamento_Pix/II_ManualdePadroesparaIniciacaodoPix.pdf.</w:t>
      </w:r>
    </w:p>
    <w:p>
      <w:r>
        <w:t>Art. 2º Fica revogada a Instrução Normativa BCB nº 658, de 5 de setembro de 2025.</w:t>
      </w:r>
    </w:p>
    <w:p>
      <w:r>
        <w:t>Art. 3º Esta Instrução Normativa entra em vigor na data de sua publicação.</w:t>
      </w:r>
    </w:p>
    <w:p>
      <w:r>
        <w:t>Ricardo Teixeira Leite Mourão</w:t>
      </w:r>
    </w:p>
    <w:p>
      <w:r>
        <w:t>ANEXO Manual de Padrões para Iniciação do Pix Versão 2.10.0</w:t>
      </w:r>
    </w:p>
    <w:p>
      <w:r>
        <w:t>Histórico de revisão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Data</w:t>
            </w:r>
          </w:p>
        </w:tc>
        <w:tc>
          <w:tcPr>
            <w:tcW w:type="dxa" w:w="2880"/>
          </w:tcPr>
          <w:p>
            <w:r>
              <w:t>Versão</w:t>
            </w:r>
          </w:p>
        </w:tc>
        <w:tc>
          <w:tcPr>
            <w:tcW w:type="dxa" w:w="2880"/>
          </w:tcPr>
          <w:p>
            <w:r>
              <w:t>Descrição das alterações</w:t>
            </w:r>
          </w:p>
        </w:tc>
      </w:tr>
      <w:tr>
        <w:tc>
          <w:tcPr>
            <w:tcW w:type="dxa" w:w="2880"/>
          </w:tcPr>
          <w:p>
            <w:r>
              <w:t>11/8/2020</w:t>
            </w:r>
          </w:p>
        </w:tc>
        <w:tc>
          <w:tcPr>
            <w:tcW w:type="dxa" w:w="2880"/>
          </w:tcPr>
          <w:p>
            <w:r>
              <w:t>1.0</w:t>
            </w:r>
          </w:p>
        </w:tc>
        <w:tc>
          <w:tcPr>
            <w:tcW w:type="dxa" w:w="2880"/>
          </w:tcPr>
          <w:p>
            <w:r>
              <w:t>Versão inicial</w:t>
            </w:r>
          </w:p>
        </w:tc>
      </w:tr>
      <w:tr>
        <w:tc>
          <w:tcPr>
            <w:tcW w:type="dxa" w:w="2880"/>
          </w:tcPr>
          <w:p>
            <w:r>
              <w:t>23/9/2020</w:t>
            </w:r>
          </w:p>
        </w:tc>
        <w:tc>
          <w:tcPr>
            <w:tcW w:type="dxa" w:w="2880"/>
          </w:tcPr>
          <w:p>
            <w:r>
              <w:t>1.1</w:t>
            </w:r>
          </w:p>
        </w:tc>
        <w:tc>
          <w:tcPr>
            <w:tcW w:type="dxa" w:w="2880"/>
          </w:tcPr>
          <w:p>
            <w:r>
              <w:t>Ajustes nas definições nos campos do payload, especialmente na semântica do campo txid. Incluídos os Anexos I e II, tratando dos Conceitos de Negócio da API Pix e das suas especificações técnicas.</w:t>
            </w:r>
          </w:p>
        </w:tc>
      </w:tr>
      <w:tr>
        <w:tc>
          <w:tcPr>
            <w:tcW w:type="dxa" w:w="2880"/>
          </w:tcPr>
          <w:p>
            <w:r>
              <w:t>13/10/2020</w:t>
            </w:r>
          </w:p>
        </w:tc>
        <w:tc>
          <w:tcPr>
            <w:tcW w:type="dxa" w:w="2880"/>
          </w:tcPr>
          <w:p>
            <w:r>
              <w:t>2.0</w:t>
            </w:r>
          </w:p>
        </w:tc>
        <w:tc>
          <w:tcPr>
            <w:tcW w:type="dxa" w:w="2880"/>
          </w:tcPr>
          <w:p>
            <w:r>
              <w:t>Seção 1.5.2: incluídas explicações sobre caracteres permitidos no campo txid. Seção 1.6.1: incluído texto para deixar claro que o QR Code dinâmico pode ser gerado por meio de aplicativo. Seção 1.6.6: excluído texto para deixar claro que o QR Code dinâmico não precisa ser necessariamente gerado por meio da API Pix. Seção 1.6.8: ajuste na explicação do campo "calendario.vencimento" e exclusão do campo</w:t>
            </w:r>
          </w:p>
        </w:tc>
      </w:tr>
      <w:tr>
        <w:tc>
          <w:tcPr>
            <w:tcW w:type="dxa" w:w="2880"/>
          </w:tcPr>
          <w:p>
            <w:r/>
          </w:p>
        </w:tc>
        <w:tc>
          <w:tcPr>
            <w:tcW w:type="dxa" w:w="2880"/>
          </w:tcPr>
          <w:p>
            <w:r/>
          </w:p>
        </w:tc>
        <w:tc>
          <w:tcPr>
            <w:tcW w:type="dxa" w:w="2880"/>
          </w:tcPr>
          <w:p>
            <w:r>
              <w:t>"calendario.recebivelAposVencimento". Seção 1.6.17: inclusão de nota de rodapé no campo 62 "Additional Data Field". Seção 1.6.18: incluído texto para deixar claro que o QR Code dinâmico pode ser gerado por meio de aplicativo. Incluída a seção 1.7, que trata sobre a funcionalidade "Pix Copia e Cola". Seção 6.3.3 do Anexo I: correção da função associada à alteração da cobrança via API Pix.</w:t>
            </w:r>
          </w:p>
        </w:tc>
      </w:tr>
      <w:tr>
        <w:tc>
          <w:tcPr>
            <w:tcW w:type="dxa" w:w="2880"/>
          </w:tcPr>
          <w:p>
            <w:r>
              <w:t>6/11/2020</w:t>
            </w:r>
          </w:p>
        </w:tc>
        <w:tc>
          <w:tcPr>
            <w:tcW w:type="dxa" w:w="2880"/>
          </w:tcPr>
          <w:p>
            <w:r>
              <w:t>2.1</w:t>
            </w:r>
          </w:p>
        </w:tc>
        <w:tc>
          <w:tcPr>
            <w:tcW w:type="dxa" w:w="2880"/>
          </w:tcPr>
          <w:p>
            <w:r>
              <w:t>Seção 1.6: atualização dos campos do Payload JSON, com a inclusão de campos referentes às funcionalidades de cobrança para pagamentos com vencimento (juros, multa, abatimento, desconto e correlatos); reorganização das subseções para refletir as diferenças de campos entre as cobranças para pagamentos imediatos e pagamentos com vencimento; Adicionados ao Anexo I casos de uso relacionados ao "Reuso de Location", cenários incluindo cobrança para pagamentos com vencimento e geração de cobranças em lotes.</w:t>
            </w:r>
          </w:p>
        </w:tc>
      </w:tr>
      <w:tr>
        <w:tc>
          <w:tcPr>
            <w:tcW w:type="dxa" w:w="2880"/>
          </w:tcPr>
          <w:p>
            <w:r/>
          </w:p>
        </w:tc>
        <w:tc>
          <w:tcPr>
            <w:tcW w:type="dxa" w:w="2880"/>
          </w:tcPr>
          <w:p>
            <w:r/>
          </w:p>
        </w:tc>
        <w:tc>
          <w:tcPr>
            <w:tcW w:type="dxa" w:w="2880"/>
          </w:tcPr>
          <w:p>
            <w:r>
              <w:t>Inclusão do Anexo III tratando sobre criação, atualização e cálculo de cobranças para pagamentos com vencimento.</w:t>
            </w:r>
          </w:p>
        </w:tc>
      </w:tr>
      <w:tr>
        <w:tc>
          <w:tcPr>
            <w:tcW w:type="dxa" w:w="2880"/>
          </w:tcPr>
          <w:p>
            <w:r>
              <w:t>9/12/2020</w:t>
            </w:r>
          </w:p>
        </w:tc>
        <w:tc>
          <w:tcPr>
            <w:tcW w:type="dxa" w:w="2880"/>
          </w:tcPr>
          <w:p>
            <w:r>
              <w:t>2.2</w:t>
            </w:r>
          </w:p>
        </w:tc>
        <w:tc>
          <w:tcPr>
            <w:tcW w:type="dxa" w:w="2880"/>
          </w:tcPr>
          <w:p>
            <w:r>
              <w:t>Seção 1.6.6.2: inserção na tabela que exibe a estrutura do payload JSON para cobranças com vencimento da informação calendario.validadeAposVencimento. Anexo II - Seção 3.1: inserção de recomendação relativa ao uso de certificados nos webhooks.</w:t>
            </w:r>
          </w:p>
        </w:tc>
      </w:tr>
      <w:tr>
        <w:tc>
          <w:tcPr>
            <w:tcW w:type="dxa" w:w="2880"/>
          </w:tcPr>
          <w:p>
            <w:r>
              <w:t>12/2/2021</w:t>
            </w:r>
          </w:p>
        </w:tc>
        <w:tc>
          <w:tcPr>
            <w:tcW w:type="dxa" w:w="2880"/>
          </w:tcPr>
          <w:p>
            <w:r>
              <w:t>2.2.1</w:t>
            </w:r>
          </w:p>
        </w:tc>
        <w:tc>
          <w:tcPr>
            <w:tcW w:type="dxa" w:w="2880"/>
          </w:tcPr>
          <w:p>
            <w:r>
              <w:t>Seção 1.6.6.1: adicionada explicação para a regra de incrementos do campo. Seção 1.6.6.2: adicionados esclarecimentos sobre o funcionamento do campo calendário.validadeAposVencimento Seção 2.1: alterado de obrigatório para opcional o preenchimento dos campos logradouro, cidade, UF e CEP do campo "devedor" na criação de uma cobrança com vencimento. Seção 1.6.1: Excluído o trecho que erroneamente se referia a um possível valor "0" no campo de valor EMV.</w:t>
            </w:r>
          </w:p>
        </w:tc>
      </w:tr>
      <w:tr>
        <w:tc>
          <w:tcPr>
            <w:tcW w:type="dxa" w:w="2880"/>
          </w:tcPr>
          <w:p>
            <w:r>
              <w:t>22/3/2021</w:t>
            </w:r>
          </w:p>
        </w:tc>
        <w:tc>
          <w:tcPr>
            <w:tcW w:type="dxa" w:w="2880"/>
          </w:tcPr>
          <w:p>
            <w:r>
              <w:t>2.3.0</w:t>
            </w:r>
          </w:p>
        </w:tc>
        <w:tc>
          <w:tcPr>
            <w:tcW w:type="dxa" w:w="2880"/>
          </w:tcPr>
          <w:p>
            <w:r>
              <w:t>Seção 1.4: removidas notas de rodapé e adicionadas explicações para explicitar que a regra de formatação das chaves Pix segue as determinações constantes do Manual Operacional do DICT. Seção 1.6.3: removido o fragmento que indica a versão do location. Seção 1.6.6: ajuste redacional para esclarecer que o código do município a ser informado pelo PSP do pagador deve corresponder à informação cadastral de endereço do usuário pagador.</w:t>
            </w:r>
          </w:p>
        </w:tc>
      </w:tr>
      <w:tr>
        <w:tc>
          <w:tcPr>
            <w:tcW w:type="dxa" w:w="2880"/>
          </w:tcPr>
          <w:p>
            <w:r/>
          </w:p>
        </w:tc>
        <w:tc>
          <w:tcPr>
            <w:tcW w:type="dxa" w:w="2880"/>
          </w:tcPr>
          <w:p>
            <w:r/>
          </w:p>
        </w:tc>
        <w:tc>
          <w:tcPr>
            <w:tcW w:type="dxa" w:w="2880"/>
          </w:tcPr>
          <w:p>
            <w:r>
              <w:t>Seção 1.6.6.1: adicionado o campo modalidadeAlteracao no objeto "valor" para Pix Cobrança para pagamentos imediatos. Seção 1.6.6.2: inseridos esclarecimentos sobre o comportamento da data de vencimento e da validade após vencimento em caso de fim de semana e de feriado para o usuário pagador. Seção 1.6.7: exemplo revisado: valor (EMV, opcional) retirado; Ref.Label (txid) modificado (enfatiza que vale o payload da cobrança); fragmento 'v2' (tornado opcional) retirado da location (url da cobrança).</w:t>
            </w:r>
          </w:p>
        </w:tc>
      </w:tr>
      <w:tr>
        <w:tc>
          <w:tcPr>
            <w:tcW w:type="dxa" w:w="2880"/>
          </w:tcPr>
          <w:p>
            <w:r/>
          </w:p>
        </w:tc>
        <w:tc>
          <w:tcPr>
            <w:tcW w:type="dxa" w:w="2880"/>
          </w:tcPr>
          <w:p>
            <w:r/>
          </w:p>
        </w:tc>
        <w:tc>
          <w:tcPr>
            <w:tcW w:type="dxa" w:w="2880"/>
          </w:tcPr>
          <w:p>
            <w:r>
              <w:t>Anexo III: inseridos esclarecimentos sobre o comportamento da data de vencimento em caso de fim de semana e de feriado para o usuário pagador e sobre os consequentes impactos nos campos que façam referência a esta data (validadeAposVencimento; desconto; juros e multa).</w:t>
            </w:r>
          </w:p>
        </w:tc>
      </w:tr>
      <w:tr>
        <w:tc>
          <w:tcPr>
            <w:tcW w:type="dxa" w:w="2880"/>
          </w:tcPr>
          <w:p>
            <w:r>
              <w:t>22/7/2021</w:t>
            </w:r>
          </w:p>
        </w:tc>
        <w:tc>
          <w:tcPr>
            <w:tcW w:type="dxa" w:w="2880"/>
          </w:tcPr>
          <w:p>
            <w:r>
              <w:t>2.4.0</w:t>
            </w:r>
          </w:p>
        </w:tc>
        <w:tc>
          <w:tcPr>
            <w:tcW w:type="dxa" w:w="2880"/>
          </w:tcPr>
          <w:p>
            <w:r>
              <w:t>Seção 1: Generalização de 'celular' para 'dispositivo móvel'; Seção 2.4.2: Reforçando obrigatoriedade da chave; Seção 1.6.2. Nota de rodapé promovida para evidenciar reuso de QR Codes; Seção 1.6.3. Correção de fdqnPspRecebdor para fqdnPspRecebedor; Seção 2.7.1. Estruturando pontos de atenção;</w:t>
            </w:r>
          </w:p>
        </w:tc>
      </w:tr>
      <w:tr>
        <w:tc>
          <w:tcPr>
            <w:tcW w:type="dxa" w:w="2880"/>
          </w:tcPr>
          <w:p>
            <w:r/>
          </w:p>
        </w:tc>
        <w:tc>
          <w:tcPr>
            <w:tcW w:type="dxa" w:w="2880"/>
          </w:tcPr>
          <w:p>
            <w:r/>
          </w:p>
        </w:tc>
        <w:tc>
          <w:tcPr>
            <w:tcW w:type="dxa" w:w="2880"/>
          </w:tcPr>
          <w:p>
            <w:r>
              <w:t>Seção 2.7.1.1: na descrição do campo valor, texto alterado para refletir que o campo segue a regex especificada na API Pix: \d{1,10}\.\d{2}; Seção 2.7.1.2: na descrição do campo valor, texto alterado para refletir que o campo segue a regex especificada na API Pix: \d{1,10|\.\d{2}; corrigida a obrigatoriedade dos campos logradouro, cidade, uf e cep, pertencentes ao objeto `recebedor`. Estes campos estavam constando erroneamente como opcionais. Seção 2.7.1.2: Remoção da obrigatoriedade do calendario.validadeAposVencimento;</w:t>
            </w:r>
          </w:p>
        </w:tc>
      </w:tr>
      <w:tr>
        <w:tc>
          <w:tcPr>
            <w:tcW w:type="dxa" w:w="2880"/>
          </w:tcPr>
          <w:p>
            <w:r/>
          </w:p>
        </w:tc>
        <w:tc>
          <w:tcPr>
            <w:tcW w:type="dxa" w:w="2880"/>
          </w:tcPr>
          <w:p>
            <w:r/>
          </w:p>
        </w:tc>
        <w:tc>
          <w:tcPr>
            <w:tcW w:type="dxa" w:w="2880"/>
          </w:tcPr>
          <w:p>
            <w:r>
              <w:t>Seção 1.8: Inclusão de campos para o serviço de iniciação de transação de pagamento Seção 0: Informações gerais sobre como mapear os campos do serviço de iniciação de transação de pagamento Anexo III: Seção 2.1: Obrigatoriedade do campo calendario.validadeAposVencimento removida. Anexo III: Seção 2.3.3.2: Definição da precisão a ser utilizada no cálculo do fator de juros</w:t>
            </w:r>
          </w:p>
        </w:tc>
      </w:tr>
      <w:tr>
        <w:tc>
          <w:tcPr>
            <w:tcW w:type="dxa" w:w="2880"/>
          </w:tcPr>
          <w:p>
            <w:r>
              <w:t>26/8/2021</w:t>
            </w:r>
          </w:p>
        </w:tc>
        <w:tc>
          <w:tcPr>
            <w:tcW w:type="dxa" w:w="2880"/>
          </w:tcPr>
          <w:p>
            <w:r>
              <w:t>2.5.0</w:t>
            </w:r>
          </w:p>
        </w:tc>
        <w:tc>
          <w:tcPr>
            <w:tcW w:type="dxa" w:w="2880"/>
          </w:tcPr>
          <w:p>
            <w:r>
              <w:t>Seção 1: Esclarecimentos no texto Seção 1.2 e 1.5: Inclusão do novo campo de FSS relativos ao Pix Saque no QR Estático Seção 1.5.1: Inclusão de situação em que o campo fss é utilizado Seção 1.6: Inclusão dos campos relativos ao Pix Saque e Pix Troco no QR Dinâmico Seção 1.6.6.2: Adequação da descrição e da obrigatoriedade do campo calendario.validadeAposVencimento à especificação</w:t>
            </w:r>
          </w:p>
        </w:tc>
      </w:tr>
      <w:tr>
        <w:tc>
          <w:tcPr>
            <w:tcW w:type="dxa" w:w="2880"/>
          </w:tcPr>
          <w:p>
            <w:r/>
          </w:p>
        </w:tc>
        <w:tc>
          <w:tcPr>
            <w:tcW w:type="dxa" w:w="2880"/>
          </w:tcPr>
          <w:p>
            <w:r/>
          </w:p>
        </w:tc>
        <w:tc>
          <w:tcPr>
            <w:tcW w:type="dxa" w:w="2880"/>
          </w:tcPr>
          <w:p>
            <w:r>
              <w:t>da API Pix Seção 1.8: Alteração no quadro com as informações obrigatórias sobre iniciação através do serviço de iniciação de transação de pagamento Seção 2: Inclusão dos campos nas mensagens de pagamento relativos ao Pix Saque e Pix Troco Anexo I: Seção 1: Inclusão das funcionalidades relacionadas ao Pix Saque e ao Pix Troco dentre as contempladas pela API Pix</w:t>
            </w:r>
          </w:p>
        </w:tc>
      </w:tr>
      <w:tr>
        <w:tc>
          <w:tcPr>
            <w:tcW w:type="dxa" w:w="2880"/>
          </w:tcPr>
          <w:p>
            <w:r/>
          </w:p>
        </w:tc>
        <w:tc>
          <w:tcPr>
            <w:tcW w:type="dxa" w:w="2880"/>
          </w:tcPr>
          <w:p>
            <w:r/>
          </w:p>
        </w:tc>
        <w:tc>
          <w:tcPr>
            <w:tcW w:type="dxa" w:w="2880"/>
          </w:tcPr>
          <w:p>
            <w:r>
              <w:t>Anexo I: Seção 4: Inclusão da definição de FSS Anexo I: Seção 5.4.2: Inclusão das funcionalidades obrigatórias por produto ofertado Anexo III: Seção 2.1: Adequação da obrigatoriedade do campo calendario.validadeAposVencimento à especificação da API Pix Anexo 4: Inclusão do cronograma de implementação das funcionalidades obrigatórias</w:t>
            </w:r>
          </w:p>
        </w:tc>
      </w:tr>
      <w:tr>
        <w:tc>
          <w:tcPr>
            <w:tcW w:type="dxa" w:w="2880"/>
          </w:tcPr>
          <w:p>
            <w:r>
              <w:t>17/9/2021</w:t>
            </w:r>
          </w:p>
        </w:tc>
        <w:tc>
          <w:tcPr>
            <w:tcW w:type="dxa" w:w="2880"/>
          </w:tcPr>
          <w:p>
            <w:r>
              <w:t>2.6.0</w:t>
            </w:r>
          </w:p>
        </w:tc>
        <w:tc>
          <w:tcPr>
            <w:tcW w:type="dxa" w:w="2880"/>
          </w:tcPr>
          <w:p>
            <w:r>
              <w:t>Seção 2: Adequação das informações contidas nos campos das mensagens de pagamento e inclusão de orientações referentes a um Pix Saque via QR Code estático</w:t>
            </w:r>
          </w:p>
        </w:tc>
      </w:tr>
      <w:tr>
        <w:tc>
          <w:tcPr>
            <w:tcW w:type="dxa" w:w="2880"/>
          </w:tcPr>
          <w:p>
            <w:r>
              <w:t>29/10/2021</w:t>
            </w:r>
          </w:p>
        </w:tc>
        <w:tc>
          <w:tcPr>
            <w:tcW w:type="dxa" w:w="2880"/>
          </w:tcPr>
          <w:p>
            <w:r>
              <w:t>2.6.1</w:t>
            </w:r>
          </w:p>
        </w:tc>
        <w:tc>
          <w:tcPr>
            <w:tcW w:type="dxa" w:w="2880"/>
          </w:tcPr>
          <w:p>
            <w:r>
              <w:t>Seção 1.6.1: Alteração de texto da nota de rodapé 35 sobre o código do município Seção 1.6.6.1: Correção de AGTET para AGTEC Seção 1.6.6.1: Adequação sobre o conteúdo do campo valor.retirada.troco. modalidadeAgente para o Pix Troco Seção 1.6.6.2: Reforço da obrigatoriedade do campo calendario.validadeAposVencimento no retorno Seção 1.8: Inclusão de campos para o serviço de iniciação de transação de pagamento</w:t>
            </w:r>
          </w:p>
        </w:tc>
      </w:tr>
      <w:tr>
        <w:tc>
          <w:tcPr>
            <w:tcW w:type="dxa" w:w="2880"/>
          </w:tcPr>
          <w:p>
            <w:r/>
          </w:p>
        </w:tc>
        <w:tc>
          <w:tcPr>
            <w:tcW w:type="dxa" w:w="2880"/>
          </w:tcPr>
          <w:p>
            <w:r/>
          </w:p>
        </w:tc>
        <w:tc>
          <w:tcPr>
            <w:tcW w:type="dxa" w:w="2880"/>
          </w:tcPr>
          <w:p>
            <w:r>
              <w:t>Seção 2.3: Inclusão de campo do serviço de iniciação de transação de pagamento para pacs.008</w:t>
            </w:r>
          </w:p>
        </w:tc>
      </w:tr>
      <w:tr>
        <w:tc>
          <w:tcPr>
            <w:tcW w:type="dxa" w:w="2880"/>
          </w:tcPr>
          <w:p>
            <w:r>
              <w:t>09/12/2021</w:t>
            </w:r>
          </w:p>
        </w:tc>
        <w:tc>
          <w:tcPr>
            <w:tcW w:type="dxa" w:w="2880"/>
          </w:tcPr>
          <w:p>
            <w:r>
              <w:t>2.6.2</w:t>
            </w:r>
          </w:p>
        </w:tc>
        <w:tc>
          <w:tcPr>
            <w:tcW w:type="dxa" w:w="2880"/>
          </w:tcPr>
          <w:p>
            <w:r>
              <w:t>Seção 1: Adequação das terminologias relacionadas ao Pix Saque e Pix Troco Seção 1.5.4, 1.6.6.1 e 2.2: Inclusão dos correspondentes bancários como agente de Saque (modalidade AGTOT)</w:t>
            </w:r>
          </w:p>
        </w:tc>
      </w:tr>
      <w:tr>
        <w:tc>
          <w:tcPr>
            <w:tcW w:type="dxa" w:w="2880"/>
          </w:tcPr>
          <w:p>
            <w:r>
              <w:t>30/8/2022</w:t>
            </w:r>
          </w:p>
        </w:tc>
        <w:tc>
          <w:tcPr>
            <w:tcW w:type="dxa" w:w="2880"/>
          </w:tcPr>
          <w:p>
            <w:r>
              <w:t>2.6.3</w:t>
            </w:r>
          </w:p>
        </w:tc>
        <w:tc>
          <w:tcPr>
            <w:tcW w:type="dxa" w:w="2880"/>
          </w:tcPr>
          <w:p>
            <w:r>
              <w:t>Seção 1.5: Alteração na denominação do campo pss para fss no QR Code estático, com semântica equivalente Seções 1 e 2: Adequação das terminologias relacionadas ao Pix Saque e Pix Troco, em relação ao Facilitador de Serviço de Saque Seção 1.8: Alteração no quadro com as informações obrigatórias sobre iniciação através do serviço de iniciação de transação de pagamento, com adequação da data de obrigatoriedade da geração do código &lt;EndToEndId&gt; pelo iniciador e</w:t>
            </w:r>
          </w:p>
        </w:tc>
      </w:tr>
      <w:tr>
        <w:tc>
          <w:tcPr>
            <w:tcW w:type="dxa" w:w="2880"/>
          </w:tcPr>
          <w:p>
            <w:r/>
          </w:p>
        </w:tc>
        <w:tc>
          <w:tcPr>
            <w:tcW w:type="dxa" w:w="2880"/>
          </w:tcPr>
          <w:p>
            <w:r/>
          </w:p>
        </w:tc>
        <w:tc>
          <w:tcPr>
            <w:tcW w:type="dxa" w:w="2880"/>
          </w:tcPr>
          <w:p>
            <w:r>
              <w:t>inclusão de informação sobre o codMun do usuário pagador Anexo III. Seção 2.1: Inseridos esclarecimentos sobre os campos valor e valor do desconto, na composição do valor da cobrança Anexo III. Seção 2.3.2: Ajuste no cálculo do valor do desconto, na cobrança com vencimento, podendo ser aplicado para datas menores ou iguais à data de vencimento, conforme especificação da API Pix.</w:t>
            </w:r>
          </w:p>
        </w:tc>
      </w:tr>
      <w:tr>
        <w:tc>
          <w:tcPr>
            <w:tcW w:type="dxa" w:w="2880"/>
          </w:tcPr>
          <w:p>
            <w:r>
              <w:t>31/10/2024</w:t>
            </w:r>
          </w:p>
        </w:tc>
        <w:tc>
          <w:tcPr>
            <w:tcW w:type="dxa" w:w="2880"/>
          </w:tcPr>
          <w:p>
            <w:r>
              <w:t>2.7.0</w:t>
            </w:r>
          </w:p>
        </w:tc>
        <w:tc>
          <w:tcPr>
            <w:tcW w:type="dxa" w:w="2880"/>
          </w:tcPr>
          <w:p>
            <w:r>
              <w:t>Reorganização do documento: Criação da seção "1. Introdução" Seção anterior "1. Iniciação do Pix por QR Code" foi dividida em duas seções: "2. Iniciação por QR Code" e "3. Outras formas de iniciação"</w:t>
            </w:r>
          </w:p>
        </w:tc>
      </w:tr>
      <w:tr>
        <w:tc>
          <w:tcPr>
            <w:tcW w:type="dxa" w:w="2880"/>
          </w:tcPr>
          <w:p>
            <w:r/>
          </w:p>
        </w:tc>
        <w:tc>
          <w:tcPr>
            <w:tcW w:type="dxa" w:w="2880"/>
          </w:tcPr>
          <w:p>
            <w:r/>
          </w:p>
        </w:tc>
        <w:tc>
          <w:tcPr>
            <w:tcW w:type="dxa" w:w="2880"/>
          </w:tcPr>
          <w:p>
            <w:r>
              <w:t>Seção anterior "2. Mapeamento para Mensagens ISO 20022" foi transferida para o "ANEXO V - Mapeamento para Mensagens ISO 20022" O "ANEXO IV - Prazos para implementação das funcionalidades" foi alterado para "ANEXO VI - Prazos para implementação das funcionalidades" Inclusão do produto Pix Automático:</w:t>
            </w:r>
          </w:p>
        </w:tc>
      </w:tr>
      <w:tr>
        <w:tc>
          <w:tcPr>
            <w:tcW w:type="dxa" w:w="2880"/>
          </w:tcPr>
          <w:p>
            <w:r/>
          </w:p>
        </w:tc>
        <w:tc>
          <w:tcPr>
            <w:tcW w:type="dxa" w:w="2880"/>
          </w:tcPr>
          <w:p>
            <w:r/>
          </w:p>
        </w:tc>
        <w:tc>
          <w:tcPr>
            <w:tcW w:type="dxa" w:w="2880"/>
          </w:tcPr>
          <w:p>
            <w:r>
              <w:t>Criação da seção "2.8 Iniciação via QR Code Composto" Criação da seção "3.3 Pix Automático" Inclusão de conteúdo relativo ao Pix Automático e ao QR Code Composto no "ANEXO I - API Pix: Conceitos de negócio" Criação do "ANEXO IV - Pix Automático" Inclusão das mensagens utilizadas no Pix Automático no "ANEXO V - Mapeamento para Mensagens ISO 20022"</w:t>
            </w:r>
          </w:p>
        </w:tc>
      </w:tr>
      <w:tr>
        <w:tc>
          <w:tcPr>
            <w:tcW w:type="dxa" w:w="2880"/>
          </w:tcPr>
          <w:p>
            <w:r>
              <w:t>29/11/2024</w:t>
            </w:r>
          </w:p>
        </w:tc>
        <w:tc>
          <w:tcPr>
            <w:tcW w:type="dxa" w:w="2880"/>
          </w:tcPr>
          <w:p>
            <w:r>
              <w:t>2.8.0</w:t>
            </w:r>
          </w:p>
        </w:tc>
        <w:tc>
          <w:tcPr>
            <w:tcW w:type="dxa" w:w="2880"/>
          </w:tcPr>
          <w:p>
            <w:r>
              <w:t>Anexo IV, Seção 2.2.1: Inclusão de esclarecimento sobre os identificadores das recorrências. Inclusão do ANEXO VI sobre o Arquivo Padronizado do Pix Automático. Reorganização no documento: O "ANEXO VI - Prazos para implementação das funcionalidades" foi alterado para "ANEXO VII - Prazos para implementação das funcionalidades".</w:t>
            </w:r>
          </w:p>
        </w:tc>
      </w:tr>
      <w:tr>
        <w:tc>
          <w:tcPr>
            <w:tcW w:type="dxa" w:w="2880"/>
          </w:tcPr>
          <w:p>
            <w:r>
              <w:t>14/03/2025</w:t>
            </w:r>
          </w:p>
        </w:tc>
        <w:tc>
          <w:tcPr>
            <w:tcW w:type="dxa" w:w="2880"/>
          </w:tcPr>
          <w:p>
            <w:r>
              <w:t>2.8.1</w:t>
            </w:r>
          </w:p>
        </w:tc>
        <w:tc>
          <w:tcPr>
            <w:tcW w:type="dxa" w:w="2880"/>
          </w:tcPr>
          <w:p>
            <w:r>
              <w:t>Anexo IV, Seção 2.1.2: Ajuste na redação e inclusão da referência ao convênio no atributo recebedor da recorrência. Anexo IV, Seção 2.3.9: Inclusão da referência ao atributo ajusteDiaUtil na cobrança recorrente. Anexo IV, Seção 3.3.5: Inclusão da tabela de códigos de rejeição das tentativas de agendamento de cobranças recorrentes que provocam a rejeição da cobrança recorrente correlata. Anexo IV, Seção 4.3.1: Ajuste na regra para definição da data de início dos ciclos de cobrança, quando a data esperada da</w:t>
            </w:r>
          </w:p>
        </w:tc>
      </w:tr>
      <w:tr>
        <w:tc>
          <w:tcPr>
            <w:tcW w:type="dxa" w:w="2880"/>
          </w:tcPr>
          <w:p>
            <w:r/>
          </w:p>
        </w:tc>
        <w:tc>
          <w:tcPr>
            <w:tcW w:type="dxa" w:w="2880"/>
          </w:tcPr>
          <w:p>
            <w:r/>
          </w:p>
        </w:tc>
        <w:tc>
          <w:tcPr>
            <w:tcW w:type="dxa" w:w="2880"/>
          </w:tcPr>
          <w:p>
            <w:r>
              <w:t>cobrança não existe.</w:t>
            </w:r>
          </w:p>
        </w:tc>
      </w:tr>
      <w:tr>
        <w:tc>
          <w:tcPr>
            <w:tcW w:type="dxa" w:w="2880"/>
          </w:tcPr>
          <w:p>
            <w:r>
              <w:t>05/06/2025</w:t>
            </w:r>
          </w:p>
        </w:tc>
        <w:tc>
          <w:tcPr>
            <w:tcW w:type="dxa" w:w="2880"/>
          </w:tcPr>
          <w:p>
            <w:r>
              <w:t>2.8.2</w:t>
            </w:r>
          </w:p>
        </w:tc>
        <w:tc>
          <w:tcPr>
            <w:tcW w:type="dxa" w:w="2880"/>
          </w:tcPr>
          <w:p>
            <w:r>
              <w:t>Seção 2.8.4.2: Ajuste na coluna Mult. da tabela de forma a evidenciar a opcionalidade do campo vinculo.objeto dos parâmetros da recorrência. Inclusão de seção 3.4 sobre forma de iniciação "Pix por aproximação"</w:t>
            </w:r>
          </w:p>
        </w:tc>
      </w:tr>
      <w:tr>
        <w:tc>
          <w:tcPr>
            <w:tcW w:type="dxa" w:w="2880"/>
          </w:tcPr>
          <w:p>
            <w:r>
              <w:t>05/09/25</w:t>
            </w:r>
          </w:p>
        </w:tc>
        <w:tc>
          <w:tcPr>
            <w:tcW w:type="dxa" w:w="2880"/>
          </w:tcPr>
          <w:p>
            <w:r>
              <w:t>2.9.0</w:t>
            </w:r>
          </w:p>
        </w:tc>
        <w:tc>
          <w:tcPr>
            <w:tcW w:type="dxa" w:w="2880"/>
          </w:tcPr>
          <w:p>
            <w:r>
              <w:t>Seção 2.5.1: inclusão de exemplo de chave CNPJ alfanumérica. Anexo IV, Seção 2.1 e Seção 2.2: adaptação das regras de formação do idRec e idSolicRec ao CNPJ alfanumérico.</w:t>
            </w:r>
          </w:p>
        </w:tc>
      </w:tr>
      <w:tr>
        <w:tc>
          <w:tcPr>
            <w:tcW w:type="dxa" w:w="2880"/>
          </w:tcPr>
          <w:p>
            <w:r>
              <w:t>19/08/26</w:t>
            </w:r>
          </w:p>
        </w:tc>
        <w:tc>
          <w:tcPr>
            <w:tcW w:type="dxa" w:w="2880"/>
          </w:tcPr>
          <w:p>
            <w:r>
              <w:t>2.10.0</w:t>
            </w:r>
          </w:p>
        </w:tc>
        <w:tc>
          <w:tcPr>
            <w:tcW w:type="dxa" w:w="2880"/>
          </w:tcPr>
          <w:p>
            <w:r>
              <w:t>Seção 3.2: Inclusão da forma de iniciação AUTO no quadro com as informações obrigatórias sobre iniciação através do serviço de iniciação de transação de pagamento e ajuste na informação sobre o codMun do usuário pagador no QR Code dinâmico com vencimento Anexo III, Seção 3: Ajustes textuais sobre o campo valor.juros.valorPerc Anexo IV, Seção 2.1.6: Ajuste para inclusão de nova informação de encerramento de uma recorrência Anexo IV, Seção 2.2.5: Inclusão da seção com informações de encerramento de uma solicitação de recorrência.</w:t>
            </w:r>
          </w:p>
        </w:tc>
      </w:tr>
    </w:tbl>
    <w:p/>
    <w:p>
      <w:r>
        <w:t>Data</w:t>
      </w:r>
    </w:p>
    <w:p>
      <w:r>
        <w:t>Versão</w:t>
      </w:r>
    </w:p>
    <w:p>
      <w:r>
        <w:t>Descrição das alterações</w:t>
      </w:r>
    </w:p>
    <w:p>
      <w:r>
        <w:t>11/8/2020</w:t>
      </w:r>
    </w:p>
    <w:p>
      <w:r>
        <w:t>1.0</w:t>
      </w:r>
    </w:p>
    <w:p>
      <w:r>
        <w:t>Versão inicial</w:t>
      </w:r>
    </w:p>
    <w:p>
      <w:r>
        <w:t>23/9/2020</w:t>
      </w:r>
    </w:p>
    <w:p>
      <w:r>
        <w:t>1.1</w:t>
      </w:r>
    </w:p>
    <w:p>
      <w:r>
        <w:t>Ajustes nas definições nos campos do payload, especialmente na semântica do campo txid.</w:t>
      </w:r>
    </w:p>
    <w:p>
      <w:r>
        <w:t>Incluídos os Anexos I e II, tratando dos Conceitos de Negócio da API Pix e das suas especificações técnicas.</w:t>
      </w:r>
    </w:p>
    <w:p>
      <w:r>
        <w:t>13/10/2020</w:t>
      </w:r>
    </w:p>
    <w:p>
      <w:r>
        <w:t>2.0</w:t>
      </w:r>
    </w:p>
    <w:p>
      <w:r>
        <w:t>Seção 1.5.2: incluídas explicações sobre caracteres permitidos no campo txid.</w:t>
      </w:r>
    </w:p>
    <w:p>
      <w:r>
        <w:t>Seção 1.6.1: incluído texto para deixar claro que o QR Code dinâmico pode ser gerado por meio de aplicativo.</w:t>
      </w:r>
    </w:p>
    <w:p>
      <w:r>
        <w:t>Seção 1.6.6: excluído texto para deixar claro que o QR Code dinâmico não precisa ser necessariamente gerado por meio da API Pix.</w:t>
      </w:r>
    </w:p>
    <w:p>
      <w:r>
        <w:t>Seção 1.6.8: ajuste na explicação do campo "calendario.vencimento" e exclusão do campo</w:t>
      </w:r>
    </w:p>
    <w:p>
      <w:r>
        <w:t>"calendario.recebivelAposVencimento".</w:t>
      </w:r>
    </w:p>
    <w:p>
      <w:r>
        <w:t>Seção 1.6.17: inclusão de nota de rodapé no campo 62 "Additional Data Field".</w:t>
      </w:r>
    </w:p>
    <w:p>
      <w:r>
        <w:t>Seção 1.6.18: incluído texto para deixar claro que o QR Code dinâmico pode ser gerado por meio de aplicativo.</w:t>
      </w:r>
    </w:p>
    <w:p>
      <w:r>
        <w:t>Incluída a seção 1.7, que trata sobre a funcionalidade "Pix Copia e Cola".</w:t>
      </w:r>
    </w:p>
    <w:p>
      <w:r>
        <w:t>Seção 6.3.3 do Anexo I: correção da função associada à alteração da cobrança via API Pix.</w:t>
      </w:r>
    </w:p>
    <w:p>
      <w:r>
        <w:t>6/11/2020</w:t>
      </w:r>
    </w:p>
    <w:p>
      <w:r>
        <w:t>2.1</w:t>
      </w:r>
    </w:p>
    <w:p>
      <w:r>
        <w:t>Seção 1.6: atualização dos campos do Payload JSON, com a inclusão de campos referentes às funcionalidades de cobrança para pagamentos com vencimento (juros, multa, abatimento, desconto e correlatos); reorganização das subseções para refletir as diferenças de campos entre as cobranças para pagamentos imediatos e pagamentos com vencimento;</w:t>
      </w:r>
    </w:p>
    <w:p>
      <w:r>
        <w:t>Adicionados ao Anexo I casos de uso relacionados ao "Reuso de Location", cenários incluindo cobrança para pagamentos com vencimento e geração de cobranças em lotes.</w:t>
      </w:r>
    </w:p>
    <w:p>
      <w:r>
        <w:t>Inclusão do Anexo III tratando sobre criação, atualização e cálculo de cobranças para pagamentos com vencimento.</w:t>
      </w:r>
    </w:p>
    <w:p>
      <w:r>
        <w:t>9/12/2020</w:t>
      </w:r>
    </w:p>
    <w:p>
      <w:r>
        <w:t>2.2</w:t>
      </w:r>
    </w:p>
    <w:p>
      <w:r>
        <w:t>Seção 1.6.6.2: inserção na tabela que exibe a estrutura do payload JSON para cobranças com vencimento da informação calendario.validadeAposVencimento.</w:t>
      </w:r>
    </w:p>
    <w:p>
      <w:r>
        <w:t>Anexo II - Seção 3.1: inserção de recomendação relativa ao uso de certificados nos webhooks.</w:t>
      </w:r>
    </w:p>
    <w:p>
      <w:r>
        <w:t>12/2/2021</w:t>
      </w:r>
    </w:p>
    <w:p>
      <w:r>
        <w:t>2.2.1</w:t>
      </w:r>
    </w:p>
    <w:p>
      <w:r>
        <w:t>Seção 1.6.6.1: adicionada explicação para a regra de incrementos do campo.</w:t>
      </w:r>
    </w:p>
    <w:p>
      <w:r>
        <w:t>Seção 1.6.6.2: adicionados esclarecimentos sobre o funcionamento do campo calendário.validadeAposVencimento</w:t>
      </w:r>
    </w:p>
    <w:p>
      <w:r>
        <w:t>Seção 2.1: alterado de obrigatório para opcional o preenchimento dos campos logradouro, cidade, UF e CEP do campo "devedor" na criação de uma cobrança com vencimento.</w:t>
      </w:r>
    </w:p>
    <w:p>
      <w:r>
        <w:t>Seção 1.6.1: Excluído o trecho que erroneamente se referia a um possível valor "0" no campo de valor EMV.</w:t>
      </w:r>
    </w:p>
    <w:p>
      <w:r>
        <w:t>22/3/2021</w:t>
      </w:r>
    </w:p>
    <w:p>
      <w:r>
        <w:t>2.3.0</w:t>
      </w:r>
    </w:p>
    <w:p>
      <w:r>
        <w:t>Seção 1.4: removidas notas de rodapé e adicionadas explicações para explicitar que a regra de formatação das chaves Pix segue as determinações constantes do Manual Operacional do DICT.</w:t>
      </w:r>
    </w:p>
    <w:p>
      <w:r>
        <w:t>Seção 1.6.3: removido o fragmento que indica a versão do location.</w:t>
      </w:r>
    </w:p>
    <w:p>
      <w:r>
        <w:t>Seção 1.6.6: ajuste redacional para esclarecer que o código do município a ser informado pelo PSP do pagador deve corresponder à informação cadastral de endereço do usuário pagador.</w:t>
      </w:r>
    </w:p>
    <w:p>
      <w:r>
        <w:t>Seção 1.6.6.1: adicionado o campo modalidadeAlteracao no objeto "valor" para Pix Cobrança para pagamentos imediatos.</w:t>
      </w:r>
    </w:p>
    <w:p>
      <w:r>
        <w:t>Seção 1.6.6.2: inseridos esclarecimentos sobre o comportamento da data de vencimento e da validade após vencimento em caso de fim de semana e de feriado para o usuário pagador.</w:t>
      </w:r>
    </w:p>
    <w:p>
      <w:r>
        <w:t>Seção 1.6.7: exemplo revisado: valor (EMV, opcional) retirado; Ref.Label (txid) modificado (enfatiza que vale o payload da cobrança); fragmento 'v2' (tornado opcional) retirado da location (url da cobrança).</w:t>
      </w:r>
    </w:p>
    <w:p>
      <w:r>
        <w:t>Anexo III: inseridos esclarecimentos sobre o comportamento da data de vencimento em caso de fim de semana e de feriado para o usuário pagador e sobre os consequentes impactos nos campos que façam referência a esta data (validadeAposVencimento; desconto; juros e multa).</w:t>
      </w:r>
    </w:p>
    <w:p>
      <w:r>
        <w:t>22/7/2021</w:t>
      </w:r>
    </w:p>
    <w:p>
      <w:r>
        <w:t>2.4.0</w:t>
      </w:r>
    </w:p>
    <w:p>
      <w:r>
        <w:t>Seção 1: Generalização de 'celular' para 'dispositivo móvel';</w:t>
      </w:r>
    </w:p>
    <w:p>
      <w:r>
        <w:t>Seção 2.4.2: Reforçando obrigatoriedade da chave;</w:t>
      </w:r>
    </w:p>
    <w:p>
      <w:r>
        <w:t>Seção 1.6.2. Nota de rodapé promovida para evidenciar reuso de QR Codes;</w:t>
      </w:r>
    </w:p>
    <w:p>
      <w:r>
        <w:t>Seção 1.6.3. Correção de fdqnPspRecebdor para fqdnPspRecebedor;</w:t>
      </w:r>
    </w:p>
    <w:p>
      <w:r>
        <w:t>Seção 2.7.1. Estruturando pontos de atenção;</w:t>
      </w:r>
    </w:p>
    <w:p>
      <w:r>
        <w:t>Seção 2.7.1.1: na descrição do campo valor, texto alterado para refletir que o campo segue a regex especificada na API Pix: \d{1,10}\.\d{2};</w:t>
      </w:r>
    </w:p>
    <w:p>
      <w:r>
        <w:t>Seção 2.7.1.2: na descrição do campo valor, texto alterado para refletir que o campo segue a regex especificada na API Pix: \d{1,10|\.\d{2}; corrigida a obrigatoriedade dos campos logradouro, cidade, uf e cep, pertencentes ao objeto `recebedor`. Estes campos estavam constando erroneamente como opcionais.</w:t>
      </w:r>
    </w:p>
    <w:p>
      <w:r>
        <w:t>Seção 2.7.1.2: Remoção da obrigatoriedade do calendario.validadeAposVencimento;</w:t>
      </w:r>
    </w:p>
    <w:p>
      <w:r>
        <w:t>Seção 1.8: Inclusão de campos para o serviço de iniciação de transação de pagamento</w:t>
      </w:r>
    </w:p>
    <w:p>
      <w:r>
        <w:t>Seção 0: Informações gerais sobre como mapear os campos do serviço de iniciação de transação de pagamento</w:t>
      </w:r>
    </w:p>
    <w:p>
      <w:r>
        <w:t>Anexo III: Seção 2.1: Obrigatoriedade do campo calendario.validadeAposVencimento removida.</w:t>
      </w:r>
    </w:p>
    <w:p>
      <w:r>
        <w:t>Anexo III: Seção 2.3.3.2: Definição da precisão a ser utilizada no cálculo do fator de juros</w:t>
      </w:r>
    </w:p>
    <w:p>
      <w:r>
        <w:t>26/8/2021</w:t>
      </w:r>
    </w:p>
    <w:p>
      <w:r>
        <w:t>2.5.0</w:t>
      </w:r>
    </w:p>
    <w:p>
      <w:r>
        <w:t>Seção 1: Esclarecimentos no texto</w:t>
      </w:r>
    </w:p>
    <w:p>
      <w:r>
        <w:t>Seção 1.2 e 1.5: Inclusão do novo campo de FSS relativos ao Pix Saque no QR Estático</w:t>
      </w:r>
    </w:p>
    <w:p>
      <w:r>
        <w:t>Seção 1.5.1: Inclusão de situação em que o campo fss é utilizado</w:t>
      </w:r>
    </w:p>
    <w:p>
      <w:r>
        <w:t>Seção 1.6: Inclusão dos campos relativos ao Pix Saque e Pix Troco no QR Dinâmico</w:t>
      </w:r>
    </w:p>
    <w:p>
      <w:r>
        <w:t>Seção 1.6.6.2: Adequação da descrição e da obrigatoriedade do campo calendario.validadeAposVencimento à especificação</w:t>
      </w:r>
    </w:p>
    <w:p>
      <w:r>
        <w:t>da API Pix</w:t>
      </w:r>
    </w:p>
    <w:p>
      <w:r>
        <w:t>Seção 1.8: Alteração no quadro com as informações obrigatórias sobre iniciação através do serviço de iniciação de transação de pagamento</w:t>
      </w:r>
    </w:p>
    <w:p>
      <w:r>
        <w:t>Seção 2: Inclusão dos campos nas mensagens de pagamento relativos ao Pix Saque e Pix Troco</w:t>
      </w:r>
    </w:p>
    <w:p>
      <w:r>
        <w:t>Anexo I: Seção 1: Inclusão das funcionalidades relacionadas ao Pix Saque e ao Pix Troco dentre as contempladas pela API Pix</w:t>
      </w:r>
    </w:p>
    <w:p>
      <w:r>
        <w:t>Anexo I: Seção 4: Inclusão da definição de FSS</w:t>
      </w:r>
    </w:p>
    <w:p>
      <w:r>
        <w:t>Anexo I: Seção 5.4.2: Inclusão das funcionalidades obrigatórias por produto ofertado</w:t>
      </w:r>
    </w:p>
    <w:p>
      <w:r>
        <w:t>Anexo III: Seção 2.1: Adequação da obrigatoriedade do campo calendario.validadeAposVencimento à especificação da API Pix</w:t>
      </w:r>
    </w:p>
    <w:p>
      <w:r>
        <w:t>Anexo 4: Inclusão do cronograma de implementação das funcionalidades obrigatórias</w:t>
      </w:r>
    </w:p>
    <w:p>
      <w:r>
        <w:t>17/9/2021</w:t>
      </w:r>
    </w:p>
    <w:p>
      <w:r>
        <w:t>2.6.0</w:t>
      </w:r>
    </w:p>
    <w:p>
      <w:r>
        <w:t>Seção 2: Adequação das informações contidas nos campos das mensagens de pagamento e inclusão de orientações referentes a um Pix Saque via QR Code estático</w:t>
      </w:r>
    </w:p>
    <w:p>
      <w:r>
        <w:t>29/10/2021</w:t>
      </w:r>
    </w:p>
    <w:p>
      <w:r>
        <w:t>2.6.1</w:t>
      </w:r>
    </w:p>
    <w:p>
      <w:r>
        <w:t>Seção 1.6.1: Alteração de texto da nota de rodapé 35 sobre o código do município</w:t>
      </w:r>
    </w:p>
    <w:p>
      <w:r>
        <w:t>Seção 1.6.6.1: Correção de AGTET para AGTEC</w:t>
      </w:r>
    </w:p>
    <w:p>
      <w:r>
        <w:t>Seção 1.6.6.1: Adequação sobre o conteúdo do campo valor.retirada.troco. modalidadeAgente para o Pix Troco</w:t>
      </w:r>
    </w:p>
    <w:p>
      <w:r>
        <w:t>Seção 1.6.6.2: Reforço da obrigatoriedade do campo calendario.validadeAposVencimento no retorno</w:t>
      </w:r>
    </w:p>
    <w:p>
      <w:r>
        <w:t>Seção 1.8: Inclusão de campos para o serviço de iniciação de transação de pagamento</w:t>
      </w:r>
    </w:p>
    <w:p>
      <w:r>
        <w:t>Seção 2.3: Inclusão de campo do serviço de iniciação de transação de pagamento para pacs.008</w:t>
      </w:r>
    </w:p>
    <w:p>
      <w:r>
        <w:t>09/12/2021</w:t>
      </w:r>
    </w:p>
    <w:p>
      <w:r>
        <w:t>2.6.2</w:t>
      </w:r>
    </w:p>
    <w:p>
      <w:r>
        <w:t>Seção 1: Adequação das terminologias relacionadas ao Pix Saque e Pix Troco</w:t>
      </w:r>
    </w:p>
    <w:p>
      <w:r>
        <w:t>Seção 1.5.4, 1.6.6.1 e 2.2: Inclusão dos correspondentes bancários como agente de Saque (modalidade AGTOT)</w:t>
      </w:r>
    </w:p>
    <w:p>
      <w:r>
        <w:t>30/8/2022</w:t>
      </w:r>
    </w:p>
    <w:p>
      <w:r>
        <w:t>2.6.3</w:t>
      </w:r>
    </w:p>
    <w:p>
      <w:r>
        <w:t>Seção 1.5: Alteração na denominação do campo pss para fss no QR Code estático, com semântica equivalente</w:t>
      </w:r>
    </w:p>
    <w:p>
      <w:r>
        <w:t>Seções 1 e 2: Adequação das terminologias relacionadas ao Pix Saque e Pix Troco, em relação ao Facilitador de Serviço de Saque</w:t>
      </w:r>
    </w:p>
    <w:p>
      <w:r>
        <w:t>Seção 1.8: Alteração no quadro com as informações obrigatórias sobre iniciação através do serviço de iniciação de transação de pagamento, com adequação da data de obrigatoriedade da geração do código &lt;EndToEndId&gt; pelo iniciador e</w:t>
      </w:r>
    </w:p>
    <w:p>
      <w:r>
        <w:t>inclusão de informação sobre o codMun do usuário pagador</w:t>
      </w:r>
    </w:p>
    <w:p>
      <w:r>
        <w:t>Anexo III. Seção 2.1: Inseridos esclarecimentos sobre os campos valor e valor do desconto, na composição do valor da cobrança</w:t>
      </w:r>
    </w:p>
    <w:p>
      <w:r>
        <w:t>Anexo III. Seção 2.3.2: Ajuste no cálculo do valor do desconto, na cobrança com vencimento, podendo ser aplicado para datas menores ou iguais à data de vencimento, conforme especificação da API Pix.</w:t>
      </w:r>
    </w:p>
    <w:p>
      <w:r>
        <w:t>31/10/2024</w:t>
      </w:r>
    </w:p>
    <w:p>
      <w:r>
        <w:t>2.7.0</w:t>
      </w:r>
    </w:p>
    <w:p>
      <w:r>
        <w:t>Reorganização do documento:</w:t>
      </w:r>
    </w:p>
    <w:p>
      <w:r>
        <w:t>Criação da seção "1. Introdução"</w:t>
      </w:r>
    </w:p>
    <w:p>
      <w:r>
        <w:t>Seção anterior "1. Iniciação do Pix por QR Code" foi dividida em duas seções: "2. Iniciação por QR Code" e "3. Outras formas de iniciação"</w:t>
      </w:r>
    </w:p>
    <w:p>
      <w:r>
        <w:t>Seção anterior "2. Mapeamento para Mensagens ISO 20022" foi transferida para o "ANEXO V - Mapeamento para Mensagens ISO 20022"</w:t>
      </w:r>
    </w:p>
    <w:p>
      <w:r>
        <w:t>O "ANEXO IV - Prazos para implementação das funcionalidades" foi alterado para "ANEXO VI - Prazos para implementação das funcionalidades"</w:t>
      </w:r>
    </w:p>
    <w:p>
      <w:r>
        <w:t>Inclusão do produto Pix Automático:</w:t>
      </w:r>
    </w:p>
    <w:p>
      <w:r>
        <w:t>Criação da seção "2.8 Iniciação via QR Code Composto"</w:t>
      </w:r>
    </w:p>
    <w:p>
      <w:r>
        <w:t>Criação da seção "3.3 Pix Automático"</w:t>
      </w:r>
    </w:p>
    <w:p>
      <w:r>
        <w:t>Inclusão de conteúdo relativo ao Pix Automático e ao QR Code Composto no "ANEXO I - API Pix: Conceitos de negócio"</w:t>
      </w:r>
    </w:p>
    <w:p>
      <w:r>
        <w:t>Criação do "ANEXO IV - Pix Automático"</w:t>
      </w:r>
    </w:p>
    <w:p>
      <w:r>
        <w:t>Inclusão das mensagens utilizadas no Pix Automático no "ANEXO V - Mapeamento para Mensagens ISO 20022"</w:t>
      </w:r>
    </w:p>
    <w:p>
      <w:r>
        <w:t>29/11/2024</w:t>
      </w:r>
    </w:p>
    <w:p>
      <w:r>
        <w:t>2.8.0</w:t>
      </w:r>
    </w:p>
    <w:p>
      <w:r>
        <w:t>Anexo IV, Seção 2.2.1: Inclusão de esclarecimento sobre os identificadores das recorrências.</w:t>
      </w:r>
    </w:p>
    <w:p>
      <w:r>
        <w:t>Inclusão do ANEXO VI sobre o Arquivo Padronizado do Pix Automático.</w:t>
      </w:r>
    </w:p>
    <w:p>
      <w:r>
        <w:t>Reorganização no documento: O "ANEXO VI - Prazos para implementação das funcionalidades" foi alterado para "ANEXO VII - Prazos para implementação das funcionalidades".</w:t>
      </w:r>
    </w:p>
    <w:p>
      <w:r>
        <w:t>14/03/2025</w:t>
      </w:r>
    </w:p>
    <w:p>
      <w:r>
        <w:t>2.8.1</w:t>
      </w:r>
    </w:p>
    <w:p>
      <w:r>
        <w:t>Anexo IV, Seção 2.1.2: Ajuste na redação e inclusão da referência ao convênio no atributo recebedor da recorrência.</w:t>
      </w:r>
    </w:p>
    <w:p>
      <w:r>
        <w:t>Anexo IV, Seção 2.3.9: Inclusão da referência ao atributo ajusteDiaUtil na cobrança recorrente.</w:t>
      </w:r>
    </w:p>
    <w:p>
      <w:r>
        <w:t>Anexo IV, Seção 3.3.5: Inclusão da tabela de códigos de rejeição das tentativas de agendamento de cobranças recorrentes que provocam a rejeição da cobrança recorrente correlata.</w:t>
      </w:r>
    </w:p>
    <w:p>
      <w:r>
        <w:t>Anexo IV, Seção 4.3.1: Ajuste na regra para definição da data de início dos ciclos de cobrança, quando a data esperada da</w:t>
      </w:r>
    </w:p>
    <w:p>
      <w:r>
        <w:t>cobrança não existe.</w:t>
      </w:r>
    </w:p>
    <w:p>
      <w:r>
        <w:t>05/06/2025</w:t>
      </w:r>
    </w:p>
    <w:p>
      <w:r>
        <w:t>2.8.2</w:t>
      </w:r>
    </w:p>
    <w:p>
      <w:r>
        <w:t>Seção 2.8.4.2: Ajuste na coluna Mult. da tabela de forma a evidenciar a opcionalidade do campo vinculo.objeto dos parâmetros da recorrência.</w:t>
      </w:r>
    </w:p>
    <w:p>
      <w:r>
        <w:t>Inclusão de seção 3.4 sobre forma de iniciação "Pix por aproximação"</w:t>
      </w:r>
    </w:p>
    <w:p>
      <w:r>
        <w:t>05/09/25</w:t>
      </w:r>
    </w:p>
    <w:p>
      <w:r>
        <w:t>2.9.0</w:t>
      </w:r>
    </w:p>
    <w:p>
      <w:r>
        <w:t>Seção 2.5.1: inclusão de exemplo de chave CNPJ alfanumérica.</w:t>
      </w:r>
    </w:p>
    <w:p>
      <w:r>
        <w:t>Anexo IV, Seção 2.1 e Seção 2.2: adaptação das regras de formação do idRec e idSolicRec ao CNPJ alfanumérico.</w:t>
      </w:r>
    </w:p>
    <w:p>
      <w:r>
        <w:t>19/08/26</w:t>
      </w:r>
    </w:p>
    <w:p>
      <w:r>
        <w:t>2.10.0</w:t>
      </w:r>
    </w:p>
    <w:p>
      <w:r>
        <w:t>Seção 3.2: Inclusão da forma de iniciação AUTO no quadro com as informações obrigatórias sobre iniciação através do serviço de iniciação de transação de pagamento e ajuste na informação sobre o codMun do usuário pagador no QR Code dinâmico com vencimento</w:t>
      </w:r>
    </w:p>
    <w:p>
      <w:r>
        <w:t>Anexo III, Seção 3: Ajustes textuais sobre o campo valor.juros.valorPerc</w:t>
      </w:r>
    </w:p>
    <w:p>
      <w:r>
        <w:t>Anexo IV, Seção 2.1.6: Ajuste para inclusão de nova informação de encerramento de uma recorrência</w:t>
      </w:r>
    </w:p>
    <w:p>
      <w:r>
        <w:t>Anexo IV, Seção 2.2.5: Inclusão da seção com informações de encerramento de uma solicitação de recorrência.</w:t>
      </w:r>
    </w:p>
    <w:p>
      <w:r>
        <w:t>NOTA</w:t>
      </w:r>
    </w:p>
    <w:p>
      <w:r>
        <w:t>O Decreto nº 10.411, de 30 de junho de 2020, prevê a obrigatoriedade da realização de análise de impacto regulatório (AIR) para a edição de atos normativos de interesse geral produzidos pelos órgãos e entidades da administração pública federal direta e indireta.</w:t>
      </w:r>
    </w:p>
    <w:p>
      <w:r>
        <w:t>Todavia, consoante se definiu no parágrafo 8 do Voto 280/2021-BCB, de 10 de novembro de 2021, o Regulamento do Pix, inclusive os demais documentos que o integram ou que o detalham e o complementam, não se caracterizam como ato regulatório de força cogente, ostentando, em verdade, natureza eminentemente contratual. Assim, modificações promovidas no referido regulamento e nos demais documentos que o integram ou que o detalham e o complementam não se sujeitam à produção prévia de AIR.</w:t>
      </w:r>
    </w:p>
    <w:p>
      <w:r>
        <w:t>Ricardo Teixeira Leite Mourão</w:t>
      </w:r>
    </w:p>
    <w:p>
      <w:r>
        <w:t>Chefe do Departamento de Competição e de Estrutura do Mercado Financeiro</w:t>
      </w:r>
    </w:p>
    <w:p>
      <w:pPr>
        <w:pStyle w:val="Heading2"/>
      </w:pPr>
      <w:r>
        <w:t>PORTARIA DIORE/SUSEP Nº 156, DE 12 DE AGOSTO DE 2026</w:t>
      </w:r>
    </w:p>
    <w:p>
      <w:r>
        <w:t>Categoria: Ministério da Fazenda/Superintendência de Seguros Privados/Diretoria de Organização de Mercado e Regulação de Conduta</w:t>
      </w:r>
    </w:p>
    <w:p>
      <w:r>
        <w:t>Página: 33</w:t>
      </w:r>
    </w:p>
    <w:p/>
    <w:p>
      <w:r>
        <w:t>PORTARIA DIORE/SUSEP Nº 156, DE 12 DE AGOSTO DE 2026</w:t>
      </w:r>
    </w:p>
    <w:p>
      <w:r>
        <w:t>O DIRETOR DA DIRETORIA DE ORGANIZAÇÃO DE MERCADO E REGULAÇÃO DE CONDUTA - DIORE, no uso da competência subdelegada pelo Superintendente da Susep, por meio da Portaria Susep nº 8.186, de 21 de julho de 2023, tendo em vista o disposto no inciso I do artigo 36 do Decreto-Lei nº 73, de 21 de novembro de 1966, com base no inciso V do artigo 5º da Resolução CNSP nº 422, de 11 de novembro de 2021, e no que consta do processo Susep nº 15414.605434/2026-53, resolve:</w:t>
      </w:r>
    </w:p>
    <w:p>
      <w:r>
        <w:t>Art. 1º Ficam homologados a eleição de administradores e o estatuto social de QI SEGURADORA S.A., CNPJ nº 63.851.104/0001-20, com sede na cidade de São Paulo - SP, conforme deliberado nas assembleias gerais extraordinárias realizadas em 27 de março de 2026 e em 11 de junho de 2026.</w:t>
      </w:r>
    </w:p>
    <w:p>
      <w:r>
        <w:t>Art. 2º Conceder a QI SEGURADORA S.A. autorização para operar seguros de danos e pessoas, no segmento S3, em todo o território nacional.</w:t>
      </w:r>
    </w:p>
    <w:p>
      <w:r>
        <w:t>Art. 3º Ratificar que o capital social de QI SEGURADORA S.A. é de R$ 25.000.020,00, dividido em 25.000.020 ações ordinárias, nominativas e sem valor nominal.</w:t>
      </w:r>
    </w:p>
    <w:p>
      <w:r>
        <w:t>Art. 4º Ratificar que o controle acionário indireto e a ingerência efetiva nos negócios de QI SEGURADORA S.A. são exercidos pela pessoa natural do Sr. Pedro Henrique Coury Mac Dowell, CPF nº ***.385.698-**.</w:t>
      </w:r>
    </w:p>
    <w:p>
      <w:r>
        <w:t>Art.5° Esta Portaria entra em vigor na data de sua publicação.</w:t>
      </w:r>
    </w:p>
    <w:p>
      <w:r>
        <w:t>CARLOS ROBERTO ALVES DE QUEIROZ</w:t>
      </w:r>
    </w:p>
    <w:p>
      <w:pPr>
        <w:pStyle w:val="Heading2"/>
      </w:pPr>
      <w:r>
        <w:t>PORTARIA DIORE/SUSEP Nº 157, DE 14 DE AGOSTO DE 2026</w:t>
      </w:r>
    </w:p>
    <w:p>
      <w:r>
        <w:t>Categoria: Ministério da Fazenda/Superintendência de Seguros Privados/Diretoria de Organização de Mercado e Regulação de Conduta</w:t>
      </w:r>
    </w:p>
    <w:p>
      <w:r>
        <w:t>Página: 33</w:t>
      </w:r>
    </w:p>
    <w:p/>
    <w:p>
      <w:r>
        <w:t>PORTARIA DIORE/SUSEP Nº 157, DE 14 DE AGOSTO DE 2026</w:t>
      </w:r>
    </w:p>
    <w:p>
      <w:r>
        <w:t>O DIRETOR DA DIRETORIA DE ORGANIZAÇÃO DE MERCADO E REGULAÇÃO DE CONDUTA - DIORE, no uso da competência subdelegada pelo Superintendente da Susep, por meio da Portaria nº 8.186, de 21 de julho de 2023, tendo em vista o disposto no inciso I do art. 36 do Decreto-Lei nº 73, de 21 de novembro de 1966, com base no artigo 4º da Resolução CNSP nº 453, de 19 de dezembro de 2022, combinado com os incisos I e V do artigo 5º da Resolução CNSP nº 422, de 11 de novembro de 2021, e no que consta do processo Susep nº 15414.625435/2026-14, resolve:</w:t>
      </w:r>
    </w:p>
    <w:p>
      <w:r>
        <w:t>Art. 1º Ficam homologados a eleição de administradores e o estatuto social de BTG PACTUAL SOCIEDADE SEGURADORA DE PROPÓSITO ESPECÍFICO S.A., CNPJ nº 63.512.576/0001-58, com sede na cidade de São Paulo - SP, conforme deliberado na assembleia geral extraordinária realizada em 7 de abril de 2026.</w:t>
      </w:r>
    </w:p>
    <w:p>
      <w:r>
        <w:t>Art. 2º Conceder a BTG PACTUAL SOCIEDADE SEGURADORA DE PROPÓSITO ESPECÍFICO S.A. autorização para emitir Letra de Risco de Seguro, no segmento S2, em todo o território nacional.</w:t>
      </w:r>
    </w:p>
    <w:p>
      <w:r>
        <w:t>Art. 3º Ratificar que o capital social de BTG PACTUAL SOCIEDADE SEGURADORA DE PROPÓSITO ESPECÍFICO S.A. é de R$ 3.000.500,00, representado por 3.000.500 ações ordinárias, nominativas e sem valor nominal.</w:t>
      </w:r>
    </w:p>
    <w:p>
      <w:r>
        <w:t>Art. 4º Ratificar que o controle acionário indireto e a ingerência efetiva nos negócios de BTG PACTUAL SOCIEDADE SEGURADORA DE PROPÓSITO ESPECÍFICO S.A. são exercidos por BANCO BTG PACTUAL S.A., CNPJ nº 30.306.294/0001-45, com sede na cidade do Rio de Janeiro - RJ.</w:t>
      </w:r>
    </w:p>
    <w:p>
      <w:r>
        <w:t>Art.5° Esta Portaria entra em vigor na data de sua publicação.</w:t>
      </w:r>
    </w:p>
    <w:p>
      <w:r>
        <w:t>CARLOS ROBERTO ALVES DE QUEIROZ</w:t>
      </w:r>
    </w:p>
    <w:p>
      <w:pPr>
        <w:pStyle w:val="Heading2"/>
      </w:pPr>
      <w:r>
        <w:t>RETIFICAÇÃO</w:t>
      </w:r>
    </w:p>
    <w:p>
      <w:r>
        <w:t>Categoria: Ministério da Previdência Social/Superintendência Nacional de Previdência Complementar/Diretoria de Licenciamento</w:t>
      </w:r>
    </w:p>
    <w:p>
      <w:r>
        <w:t>Página: 58</w:t>
      </w:r>
    </w:p>
    <w:p/>
    <w:p>
      <w:r>
        <w:t>RETIFICAÇÃO</w:t>
      </w:r>
    </w:p>
    <w:p>
      <w:r>
        <w:t>Na Portaria nº 485, de 27/06/2026, publicada no DOU nº 122, de 02/07/2026, seção 1, pág. 92, art. 1º, onde se lê: "convênio de adesão celebrado entre a empresa Monte Rodovias S.A., CNPJ nº 7.702.340/0001-74", leia-se: "convênio de adesão celebrado entre a empresa Monte Rodovias S.A., CNPJ nº 37.702.340/0001-74".</w:t>
      </w:r>
    </w:p>
    <w:p>
      <w:pPr>
        <w:pStyle w:val="Heading2"/>
      </w:pPr>
      <w:r>
        <w:t>Portaria Previc Nº 613, DE 12 DE agosto DE 2026</w:t>
      </w:r>
    </w:p>
    <w:p>
      <w:r>
        <w:t>Categoria: Ministério da Previdência Social/Superintendência Nacional de Previdência Complementar/Diretoria de Licenciamento</w:t>
      </w:r>
    </w:p>
    <w:p>
      <w:r>
        <w:t>Página: 57</w:t>
      </w:r>
    </w:p>
    <w:p/>
    <w:p>
      <w:r>
        <w:t>Portaria Previc Nº 613, DE 12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44011.002336/2026-09, resolve:</w:t>
      </w:r>
    </w:p>
    <w:p>
      <w:r>
        <w:t>Art.1º Aprovar as alterações propostas ao regulamento do Plano de Benefícios Boticário Prev, CNPB nº 1995.0036-38, administrado pela Boticário Prev Sociedade de Previdência Privada, CNPJ nº 00.998.828/0001-80.</w:t>
      </w:r>
    </w:p>
    <w:p>
      <w:r>
        <w:t>Art.2º Esta Portaria entra em vigor na data de sua publicação.</w:t>
      </w:r>
    </w:p>
    <w:p>
      <w:r>
        <w:t>GUILHERME CAPRIATA VACCARO CAMPELO BEZERRA</w:t>
      </w:r>
    </w:p>
    <w:p>
      <w:r>
        <w:br w:type="page"/>
      </w:r>
    </w:p>
    <w:p>
      <w:pPr>
        <w:pStyle w:val="Heading1"/>
      </w:pPr>
      <w:r>
        <w:t>2026-08-21</w:t>
      </w:r>
    </w:p>
    <w:p>
      <w:pPr>
        <w:pStyle w:val="Heading2"/>
      </w:pPr>
      <w:r>
        <w:t>Portaria Previc Nº 590, DE 3 DE agosto DE 2026</w:t>
      </w:r>
    </w:p>
    <w:p>
      <w:r>
        <w:t>Categoria: Ministério da Previdência Social/Superintendência Nacional de Previdência Complementar/Diretoria de Licenciamento</w:t>
      </w:r>
    </w:p>
    <w:p>
      <w:r>
        <w:t>Página: 69</w:t>
      </w:r>
    </w:p>
    <w:p/>
    <w:p>
      <w:r>
        <w:t>Portaria Previc Nº 590, DE 3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44011.005688/2024-46, resolve:</w:t>
      </w:r>
    </w:p>
    <w:p>
      <w:r>
        <w:t>Art. 1º Aprovar as alterações propostas ao regulamento do Plano Goiás Seguro, CNPB nº 2017.0009-65, administrado pela PREVCOM-BrC - Fundação de Previdência Complementar do Brasil Central, CNPJ nº 26.850.496/0001-86.</w:t>
      </w:r>
    </w:p>
    <w:p>
      <w:r>
        <w:t>Art. 2º Esta Portaria entra em vigor na data de sua publicação.</w:t>
      </w:r>
    </w:p>
    <w:p>
      <w:r>
        <w:t>GUILHERME CAPRIATA VACCARO CAMPELO BEZERRA</w:t>
      </w:r>
    </w:p>
    <w:p>
      <w:pPr>
        <w:pStyle w:val="Heading2"/>
      </w:pPr>
      <w:r>
        <w:t>Portaria Previc Nº 633, DE 18 DE agosto DE 2026</w:t>
      </w:r>
    </w:p>
    <w:p>
      <w:r>
        <w:t>Categoria: Ministério da Previdência Social/Superintendência Nacional de Previdência Complementar/Diretoria de Licenciamento</w:t>
      </w:r>
    </w:p>
    <w:p>
      <w:r>
        <w:t>Página: 69</w:t>
      </w:r>
    </w:p>
    <w:p/>
    <w:p>
      <w:r>
        <w:t>Portaria Previc Nº 633, DE 18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44011.002444/2026-73, resolve:</w:t>
      </w:r>
    </w:p>
    <w:p>
      <w:r>
        <w:t>Art.1º Aprovar as alterações propostas ao regulamento do Plano Básico de Benefícios III - SESI-RJ, CNPB nº 1999.0048-92, administrado pela Previndus Associação de Previdência Complementar, CNPJ nº 00.576.685/0001-19.</w:t>
      </w:r>
    </w:p>
    <w:p>
      <w:r>
        <w:t>Art.2º Esta Portaria entra em vigor na data de sua publicação.</w:t>
      </w:r>
    </w:p>
    <w:p>
      <w:r>
        <w:t>GUILHERME CAPRIATA VACCARO CAMPELO BEZERRA</w:t>
      </w:r>
    </w:p>
    <w:p>
      <w:r>
        <w:br w:type="page"/>
      </w:r>
    </w:p>
    <w:p>
      <w:pPr>
        <w:pStyle w:val="Heading1"/>
      </w:pPr>
      <w:r>
        <w:t>2026-08-24</w:t>
      </w:r>
    </w:p>
    <w:p>
      <w:pPr>
        <w:pStyle w:val="Heading2"/>
      </w:pPr>
      <w:r>
        <w:t>PORTARIA CGAUT/SUSEP nº 154, de 21 de AGOSTO de 2026</w:t>
      </w:r>
    </w:p>
    <w:p>
      <w:r>
        <w:t>Categoria: Ministério da Fazenda/Superintendência de Seguros Privados/Diretoria de Organização de Mercado e Regulação de Conduta/Coordenação-Geral de Autorizações</w:t>
      </w:r>
    </w:p>
    <w:p>
      <w:r>
        <w:t>Página: 47</w:t>
      </w:r>
    </w:p>
    <w:p/>
    <w:p>
      <w:r>
        <w:t>PORTARIA CGAUT/SUSEP nº 154, de 21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 go 36 do Decreto-Lei nº 73, de 21 de novembro de 1966, com base no inciso V do ar go 5º da Resolução CNSP nº 422, de 11 de novembro de 2021, e o que consta do processo Susep nº 15414.627393/2026-56, resolve:</w:t>
      </w:r>
    </w:p>
    <w:p>
      <w:r>
        <w:t>Art. 1º Fica homologada a eleição de membros suplentes do Conselho de Administração e do Conselho Fiscal de BRASILPREV SEGUROS E PREVIDÊNCIA S.A., CNPJ nº 27.665.207/0001-31, com sede na cidade de São Paulo - SP, conforme deliberado na assembleia geral extraordinária de 20 de abril de 2026.</w:t>
      </w:r>
    </w:p>
    <w:p>
      <w:r>
        <w:t>Art. 2º Esta portaria entra em vigor na data de sua publicação.</w:t>
      </w:r>
    </w:p>
    <w:p>
      <w:r>
        <w:t>MAUREL ALEXIS WEICHERT</w:t>
      </w:r>
    </w:p>
    <w:p>
      <w:pPr>
        <w:pStyle w:val="Heading2"/>
      </w:pPr>
      <w:r>
        <w:t>PORTARIA CGAUT/SUSEP nº 155, de 21 de AGOSTO de 2026</w:t>
      </w:r>
    </w:p>
    <w:p>
      <w:r>
        <w:t>Categoria: Ministério da Fazenda/Superintendência de Seguros Privados/Diretoria de Organização de Mercado e Regulação de Conduta/Coordenação-Geral de Autorizações</w:t>
      </w:r>
    </w:p>
    <w:p>
      <w:r>
        <w:t>Página: 47</w:t>
      </w:r>
    </w:p>
    <w:p/>
    <w:p>
      <w:r>
        <w:t>PORTARIA CGAUT/SUSEP nº 155, de 21 de AGOSTO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15414.621607/2026-81, resolve:</w:t>
      </w:r>
    </w:p>
    <w:p>
      <w:r>
        <w:t>Art. 1º Ficam homologadas as seguintes deliberações tomadas pelos acionistas de HDI SEGUROS S.A., CNPJ nº 29.980.158/0001-57, com sede na cidade de São Paulo - SP, nas assembleias gerais ordinária e extraordinária realizadas cumulativamente em 23 de março de 2026:</w:t>
      </w:r>
    </w:p>
    <w:p>
      <w:r>
        <w:t>I - eleição dos membros do conselho de administração; e</w:t>
      </w:r>
    </w:p>
    <w:p>
      <w:r>
        <w:t>II - reforma e consolidação do estatuto social.</w:t>
      </w:r>
    </w:p>
    <w:p>
      <w:r>
        <w:t>Art. 2º Esta portaria entra em vigor na data de sua publicação.</w:t>
      </w:r>
    </w:p>
    <w:p>
      <w:r>
        <w:t>MAUREL ALEXIS WEICHERT</w:t>
      </w:r>
    </w:p>
    <w:p>
      <w:pPr>
        <w:pStyle w:val="Heading2"/>
      </w:pPr>
      <w:r>
        <w:t>PORTARIA CGAUT/SUSEP nº 156, de 21 de AGOSTO de 2026</w:t>
      </w:r>
    </w:p>
    <w:p>
      <w:r>
        <w:t>Categoria: Ministério da Fazenda/Superintendência de Seguros Privados/Diretoria de Organização de Mercado e Regulação de Conduta/Coordenação-Geral de Autorizações</w:t>
      </w:r>
    </w:p>
    <w:p>
      <w:r>
        <w:t>Página: 47</w:t>
      </w:r>
    </w:p>
    <w:p/>
    <w:p>
      <w:r>
        <w:t>PORTARIA CGAUT/SUSEP nº 156, de 21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na alínea 'a' do artigo 36 do Decreto-Lei nº 73, de 21 de novembro de 1966, com base no inciso V do artigo 5º da Resolução CNSP nº 422, de 11 de novembro de 2021, e o que consta do processo Susep nº 15414.628536/2026-47, resolve:</w:t>
      </w:r>
    </w:p>
    <w:p>
      <w:r>
        <w:t>Art. 1º Homologar a eleição de administrador de SWISS RE CORPORATE SOLUTIONS BRASIL SEGUROS S.A., CNPJ nº 72.145.931/0001-99, com sede na cidade de São Paulo - SP, conforme deliberado na reunião do conselho de administração realizada em 14 de maio de 2026.</w:t>
      </w:r>
    </w:p>
    <w:p>
      <w:r>
        <w:t>Art. 2º Esta portaria entra em vigor na data de sua publicação.</w:t>
      </w:r>
    </w:p>
    <w:p>
      <w:r>
        <w:t>MAUREL ALEXIS WEICHERT</w:t>
      </w:r>
    </w:p>
    <w:p>
      <w:pPr>
        <w:pStyle w:val="Heading2"/>
      </w:pPr>
      <w:r>
        <w:t>Portaria Previc Nº 625, DE 17 DE agosto DE 2026</w:t>
      </w:r>
    </w:p>
    <w:p>
      <w:r>
        <w:t>Categoria: Ministério da Previdência Social/Superintendência Nacional de Previdência Complementar/Diretoria de Licenciamento</w:t>
      </w:r>
    </w:p>
    <w:p>
      <w:r>
        <w:t>Página: 69</w:t>
      </w:r>
    </w:p>
    <w:p/>
    <w:p>
      <w:r>
        <w:t>Portaria Previc Nº 625, DE 17 DE agosto DE 2026</w:t>
      </w:r>
    </w:p>
    <w:p>
      <w:r>
        <w:t>O DIRETOR DE LICENCIAMENTO, no uso das atribuições que lhe confere as alíneas "c", "d" e "e" do inciso I do art. 66 da Portaria Previc nº 861, de 9 de outubro de 2024 (Regimento Interno da Superintendência Nacional de Previdência Complementar - Previc), e considerando as manifestações técnicas exaradas no Processo nº 44011.013274/2025-71, resolve:</w:t>
      </w:r>
    </w:p>
    <w:p>
      <w:r>
        <w:t>Art. 1º Autorizar a transferência de gerenciamento do Plano de Contribuição Definida Longping Prev, CNPB nº 2019.0019-18 e CNPJ nº 48.307.702/0001-49, do MERCERPREV - Fundo de Pensão Multipatrocinado, CNPJ nº 61.365.136/0001-90, para o MULTIPENSIONS BRADESCO - Fundo Multipatrocinado de Previdência Privada, CNPJ nº 02.866.728/0001-26.</w:t>
      </w:r>
    </w:p>
    <w:p>
      <w:r>
        <w:t>Art. 2º Aprovar a aplicação das alterações propostas ao regulamento do Plano de Contribuição Definida Longping Prev, CNPB nº 2019.0019-18 e CNPJ nº 48.307.702/0001-49.</w:t>
      </w:r>
    </w:p>
    <w:p>
      <w:r>
        <w:t>Art. 3º Aprovar o convênio de adesão celebrado entre a Longping High-Tech Biotecnologia LTDA, CNPJ nº 08.864.422/0001-17, na condição de patrocinadora do Plano de Contribuição Definida Longping Prev, CNPB nº 2019.0019-18 e CNPJ nº 48.307.702/0001-49, e o MULTIPENSIONS BRADESCO - Fundo Multipatrocinado de Previdência Privada, CNPJ nº 02.866.728/0001-26, na condição de entidade fechada de previdência complementar responsável pela administração do referido plano.</w:t>
      </w:r>
    </w:p>
    <w:p>
      <w:r>
        <w:t>Art. 4º Esta Portaria entra em vigor na data de sua publicação.</w:t>
      </w:r>
    </w:p>
    <w:p>
      <w:r>
        <w:t>GUILHERME CAPRIATA VACCARO CAMPELO BEZERRA</w:t>
      </w:r>
    </w:p>
    <w:p>
      <w:pPr>
        <w:pStyle w:val="Heading2"/>
      </w:pPr>
      <w:r>
        <w:t>Portaria Previc Nº 626, DE 17 DE agosto DE 2026</w:t>
      </w:r>
    </w:p>
    <w:p>
      <w:r>
        <w:t>Categoria: Ministério da Previdência Social/Superintendência Nacional de Previdência Complementar/Diretoria de Licenciamento</w:t>
      </w:r>
    </w:p>
    <w:p>
      <w:r>
        <w:t>Página: 69</w:t>
      </w:r>
    </w:p>
    <w:p/>
    <w:p>
      <w:r>
        <w:t>Portaria Previc Nº 626, DE 17 DE agosto DE 2026</w:t>
      </w:r>
    </w:p>
    <w:p>
      <w:r>
        <w:t>O DIRETOR DE LICENCIAMENTO, no uso das atribuições que lhe confere as alíneas "c", "d" e "e" do inciso I do art. 66 da Portaria Previc nº 861, de 9 de outubro de 2024 (Regimento Interno da Superintendência Nacional de Previdência Complementar - Previc), e considerando as manifestações técnicas exaradas no Processo nº 44011.000376/2026-16, resolve:</w:t>
      </w:r>
    </w:p>
    <w:p>
      <w:r>
        <w:t>Art. 1º Autorizar a transferência de gerenciamento do Plano de Benefícios Zoetis Prev, CNPB nº 2014.0004-92 e CNPJ nº 48.307.580/0001-90, do MERCERPREV - Fundo de Pensão Multipatrocinado, CNPJ nº 61.365.136/0001-90, para o MULTIPREV - Fundo Múltiplo de Pensão, CNPJ nº 67.846.188/0001-64.</w:t>
      </w:r>
    </w:p>
    <w:p>
      <w:r>
        <w:t>Art. 2º Aprovar a aplicação das alterações propostas ao regulamento do Plano de Benefícios Zoetis Prev (CNPB nº 2014.0004-92 e CNPJ nº 48.307.580/0001-90).</w:t>
      </w:r>
    </w:p>
    <w:p>
      <w:r>
        <w:t>Art. 3º Aprovar o convênio de adesão celebrado entre Zoetis Comércio e Distribuição Ltda., CNPJ nº 01.770.356/0001-77, e Zoetis Indústria de Produtos Veterinários Ltda., CNPJ nº 43.588.045/0001-31, na condição de patrocinadoras do Plano de Benefícios Zoetis Prev, CNPB nº 2014.0004-92 e CNPJ nº 48.307.580/0001-90, e o MULTIPREV - Fundo Múltiplo de Pensão, CNPJ nº 67.846.188/0001-64, na condição de entidade fechada de previdência complementar responsável pela administração do referido plano.</w:t>
      </w:r>
    </w:p>
    <w:p>
      <w:r>
        <w:t>Art. 4º Esta Portaria entra em vigor na data de sua publicação.</w:t>
      </w:r>
    </w:p>
    <w:p>
      <w:r>
        <w:t>GUILHERME CAPRIATA VACCARO CAMPELO BEZERRA</w:t>
      </w:r>
    </w:p>
    <w:p>
      <w:pPr>
        <w:pStyle w:val="Heading2"/>
      </w:pPr>
      <w:r>
        <w:t>Portaria Previc Nº 627, DE 17 DE agosto DE 2026</w:t>
      </w:r>
    </w:p>
    <w:p>
      <w:r>
        <w:t>Categoria: Ministério da Previdência Social/Superintendência Nacional de Previdência Complementar/Diretoria de Licenciamento</w:t>
      </w:r>
    </w:p>
    <w:p>
      <w:r>
        <w:t>Página: 69</w:t>
      </w:r>
    </w:p>
    <w:p/>
    <w:p>
      <w:r>
        <w:t>Portaria Previc Nº 627, DE 17 DE agosto DE 2026</w:t>
      </w:r>
    </w:p>
    <w:p>
      <w:r>
        <w:t>O DIRETOR DE LICENCIAMENTO, no uso das atribuições que lhe confere as alíneas "c", "d" e "e" do inciso I do art. 66 da Portaria Previc nº 861, de 9 de outubro de 2024 (Regimento Interno da Superintendência Nacional de Previdência Complementar - Previc), e considerando as manifestações técnicas exaradas no Processo nº 44011.013270/2025-93, resolve:</w:t>
      </w:r>
    </w:p>
    <w:p>
      <w:r>
        <w:t>Art. 1º Autorizar a transferência de gerenciamento do Plano de Contribuição Definida Olin Prev, CNPB nº 2016.0007-83 e CNPJ nº 48.307.621/0001-49, do MERCERPREV - Fundo de Pensão Multipatrocinado, CNPJ nº 61.365.136/0001-90, para o MULTIPENSIONS BRADESCO - Fundo Multipatrocinado de Previdência Privada, CNPJ nº 02.866.728/0001-26.</w:t>
      </w:r>
    </w:p>
    <w:p>
      <w:r>
        <w:t>Art. 2º Aprovar a aplicação das alterações propostas ao regulamento do Plano de Contribuição Definida Olin Prev, CNPB nº 2016.0007-83 e CNPJ nº 48.307.621/0001-49.</w:t>
      </w:r>
    </w:p>
    <w:p>
      <w:r>
        <w:t>Art. 3º Aprovar o convênio de adesão celebrado entre a Blue Cube Brasil Comércio de Produtos Químicos LTDA, CNPJ nº 20.920.259/0001-68, na condição de patrocinadora do Plano de Contribuição Definida Olin Prev, CNPB nº 2016.0007-83 e CNPJ nº 48.307.621/0001-49, e o MULTIPENSIONS BRADESCO - Fundo Multipatrocinado de Previdência Privada, CNPJ nº 02.866.728/0001-26, na condição de entidade fechada de previdência complementar responsável pela administração do referido plano.</w:t>
      </w:r>
    </w:p>
    <w:p>
      <w:r>
        <w:t>Art. 4º Esta Portaria entra em vigor na data de sua publicação.</w:t>
      </w:r>
    </w:p>
    <w:p>
      <w:r>
        <w:t>GUILHERME CAPRIATA VACCARO CAMPELO BEZERRA</w:t>
      </w:r>
    </w:p>
    <w:p>
      <w:pPr>
        <w:pStyle w:val="Heading2"/>
      </w:pPr>
      <w:r>
        <w:t>Portaria Previc Nº 638, DE 19 DE agosto DE 2026</w:t>
      </w:r>
    </w:p>
    <w:p>
      <w:r>
        <w:t>Categoria: Ministério da Previdência Social/Superintendência Nacional de Previdência Complementar/Diretoria de Licenciamento</w:t>
      </w:r>
    </w:p>
    <w:p>
      <w:r>
        <w:t>Página: 69</w:t>
      </w:r>
    </w:p>
    <w:p/>
    <w:p>
      <w:r>
        <w:t>Portaria Previc Nº 638, DE 19 DE agosto DE 2026</w:t>
      </w:r>
    </w:p>
    <w:p>
      <w:r>
        <w:t>O DIRETOR DE LICENCIAMENTO, no uso das atribuições que lhe confere a alínea "c" do inciso I do art. 16 do Decreto nº 11.241, de 18 de outubro de 2022, e considerando as manifestações técnicas exaradas no Processo nº 44011.011874/2025-03, resolve:</w:t>
      </w:r>
    </w:p>
    <w:p>
      <w:r>
        <w:t>Art. 1º Aprovar as alterações propostas para o estatuto da entidade BRF Previdência, CNPJ nº 01.689.795/0001-50, nos termos do supracitado processo.</w:t>
      </w:r>
    </w:p>
    <w:p>
      <w:r>
        <w:t>Art. 2º Esta Portaria entra em vigor na data de sua publicação.</w:t>
      </w:r>
    </w:p>
    <w:p>
      <w:r>
        <w:t>GUILHERME CAPRIATA VACCARO CAMPELO BEZERRA</w:t>
      </w:r>
    </w:p>
    <w:p>
      <w:r>
        <w:br w:type="page"/>
      </w:r>
    </w:p>
    <w:p>
      <w:pPr>
        <w:pStyle w:val="Heading1"/>
      </w:pPr>
      <w:r>
        <w:t>2026-08-25</w:t>
      </w:r>
    </w:p>
    <w:p>
      <w:pPr>
        <w:pStyle w:val="Heading2"/>
      </w:pPr>
      <w:r>
        <w:t>PORTARIA CGAUT/SUSEP nº 157, de 21 de Agosto de 2026</w:t>
      </w:r>
    </w:p>
    <w:p>
      <w:r>
        <w:t>Categoria: Ministério da Fazenda/Superintendência de Seguros Privados/Diretoria de Organização de Mercado e Regulação de Conduta/Coordenação-Geral de Autorizações</w:t>
      </w:r>
    </w:p>
    <w:p>
      <w:r>
        <w:t>Página: 96</w:t>
      </w:r>
    </w:p>
    <w:p/>
    <w:p>
      <w:r>
        <w:t>PORTARIA CGAUT/SUSEP nº 157, de 21 de Agosto de 2026</w:t>
      </w:r>
    </w:p>
    <w:p>
      <w:r>
        <w:t>O COORDENADOR-GERAL DA COORDENAÇÃO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combinado com o parágrafo 2º do artigo 3º do Decreto-Lei nº 261, de 28 de fevereiro de 1967, com base no inciso V do artigo 5º da Resolução CNSP nº 422, de 11 de novembro de 2021, e o que consta do processo Susep nº 15414.631774/2026-30, resolve:</w:t>
      </w:r>
    </w:p>
    <w:p>
      <w:r>
        <w:t>Art.1º Fica homologada a eleição de administrador de BRASILCAP CAPITALIZAÇÃO S.A., CNPJ nº 15.138.043/0001-05, com sede na cidade do Rio de Janeiro - RJ, conforme deliberado na reunião do conselho de administração realizada em 7 de maio de 2026.</w:t>
      </w:r>
    </w:p>
    <w:p>
      <w:r>
        <w:t>Art.2º Esta Portaria entra em vigor na data de sua publicação.</w:t>
      </w:r>
    </w:p>
    <w:p>
      <w:r>
        <w:t>MAUREL ALEXIS WEICHERT</w:t>
      </w:r>
    </w:p>
    <w:p>
      <w:pPr>
        <w:pStyle w:val="Heading2"/>
      </w:pPr>
      <w:r>
        <w:t>PORTARIA DIORE/SUSEP nº 158, de 19 de agosto de 2026</w:t>
      </w:r>
    </w:p>
    <w:p>
      <w:r>
        <w:t>Categoria: Ministério da Fazenda/Superintendência de Seguros Privados/Diretoria de Organização de Mercado e Regulação de Conduta</w:t>
      </w:r>
    </w:p>
    <w:p>
      <w:r>
        <w:t>Página: 96</w:t>
      </w:r>
    </w:p>
    <w:p/>
    <w:p>
      <w:r>
        <w:t>PORTARIA DIORE/SUSEP nº 158, de 19 de agosto de 2026</w:t>
      </w:r>
    </w:p>
    <w:p>
      <w:r>
        <w:t>O DIRETOR DA DIRETORIA DE ORGANIZAÇÃO DE MERCADO E REGULAÇÃO DE CONDUTA - DIORE, no uso da competência subdelegada pelo Superintendente da Susep, por meio da Portaria Susep nº 8.186, de 21 de julho de 2023; tendo em vista o disposto no inciso I do art. 36 do Decreto-Lei nº 73, de 21 de novembro de 1966; com base no inciso V do art. 5º da Resolução CNSP nº 422, de 11 de novembro de 2021; e no que consta do processo Susep nº 15414.601168/2026-90, resolve:</w:t>
      </w:r>
    </w:p>
    <w:p>
      <w:r>
        <w:t>Art.1º Ficam homologados a eleição de administradores e o estatuto social de GLOBOSEG SEGURADORA S.A., com sede na cidade de Goiânia - GO, conforme deliberado na assembleia geral de constituição realizada em 19 de dezembro de 2025.</w:t>
      </w:r>
    </w:p>
    <w:p>
      <w:r>
        <w:t>Art. 2º Conceder à GLOBOSEG SEGURADORA S.A. autorização para operar seguros danos e pessoas, no segmento S3, na 1ª (primeira), 2ª (segunda), 3ª (terceira), 4ª (quarta), 5ª (quinta) e 6ª (sexta) regiões do território nacional.</w:t>
      </w:r>
    </w:p>
    <w:p>
      <w:r>
        <w:t>Art. 3º Ratificar que o capital social de GLOBOSEG SEGURADORA S.A. é de R$ 4.000.000,00 (quatro milhões reais), dividido em 4.000.000 ações ordinárias, nominativas e sem valor nominal.</w:t>
      </w:r>
    </w:p>
    <w:p>
      <w:r>
        <w:t>Art. 4º Ratificar que o controle acionário indireto e a ingerência efetiva nos negócios de GLOBOSEG SEGURADORA S.A. são exercidos pela pessoa natural do Sr. Manassés Pinto dos Santos, CPF nº ***.579.311-**..</w:t>
      </w:r>
    </w:p>
    <w:p>
      <w:r>
        <w:t>Art.5º Esta Portaria entra em vigor na data de sua publicação.</w:t>
      </w:r>
    </w:p>
    <w:p>
      <w:r>
        <w:t>CARLOS ROBERTO ALVES DE QUEIROZ</w:t>
      </w:r>
    </w:p>
    <w:p>
      <w:pPr>
        <w:pStyle w:val="Heading2"/>
      </w:pPr>
      <w:r>
        <w:t>PORTARIA CGAUT/SUSEP nº 158, de 24 de Agosto de 2026</w:t>
      </w:r>
    </w:p>
    <w:p>
      <w:r>
        <w:t>Categoria: Ministério da Fazenda/Superintendência de Seguros Privados/Diretoria de Organização de Mercado e Regulação de Conduta/Coordenação-Geral de Autorizações</w:t>
      </w:r>
    </w:p>
    <w:p>
      <w:r>
        <w:t>Página: 96</w:t>
      </w:r>
    </w:p>
    <w:p/>
    <w:p>
      <w:r>
        <w:t>PORTARIA CGAUT/SUSEP nº 158, de 24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15414.638838/2026-23, resolve:</w:t>
      </w:r>
    </w:p>
    <w:p>
      <w:r>
        <w:t>Art.1ºFica homologada a eleição de administradora de FAM SEGURADORA DE CRÉDITO E GARANTIA S.A., CNPJ nº 55.428.714/0001-97, com sede na cidade de São Paulo - SP, conforme deliberado na assembleia geral extraordinária realizada em 02 de julho de 2026.</w:t>
      </w:r>
    </w:p>
    <w:p>
      <w:r>
        <w:t>Art.2º Esta Portaria entra em vigor na data de sua publicação.</w:t>
      </w:r>
    </w:p>
    <w:p>
      <w:r>
        <w:t>MAUREL ALEXIS WEICHERT</w:t>
      </w:r>
    </w:p>
    <w:p>
      <w:pPr>
        <w:pStyle w:val="Heading2"/>
      </w:pPr>
      <w:r>
        <w:t>RESOLUÇÃO BCB Nº 585, DE 24 DE AGOSTO DE 2026</w:t>
      </w:r>
    </w:p>
    <w:p>
      <w:pPr>
        <w:pStyle w:val="ListBullet"/>
      </w:pPr>
      <w:r>
        <w:t>Ementa: Dispõe sobre o formato padrão para identificação de contas bancárias mantidas no Brasil para fins de transferências internacionais de fundos (formato IBAN) e regulamenta seu uso.</w:t>
      </w:r>
    </w:p>
    <w:p>
      <w:r>
        <w:t>Categoria: Banco Central do Brasil/Diretoria Colegiada</w:t>
      </w:r>
    </w:p>
    <w:p>
      <w:r>
        <w:t>Página: 163</w:t>
      </w:r>
    </w:p>
    <w:p/>
    <w:p>
      <w:r>
        <w:t>RESOLUÇÃO BCB Nº 585, DE 24 DE AGOSTO DE 2026</w:t>
      </w:r>
    </w:p>
    <w:p>
      <w:r>
        <w:t>Dispõe sobre o formato padrão para identificação de contas bancárias mantidas no Brasil para fins de transferências internacionais de fundos (formato IBAN) e regulamenta seu uso.</w:t>
      </w:r>
    </w:p>
    <w:p>
      <w:r>
        <w:t>A Diretoria Colegiada do Banco Central do Brasil, em sessão realizada em 21 de agosto de 2026, com base no art. 10 da Lei nº 10.214, de 27 de março de 2001, nos arts. 5º, caput, incisos I, VIII a XI, e § 4º, e 14, § 2º, da Lei nº 14.286, de 29 de dezembro de 2021, e tendo em vista o disposto nos arts. 3º, 5º, caput, inciso I, 9º e 12 da Resolução CMN nº 4.952, de 30 de setembro de 2021, e nos arts. 3º, caput, incisos II e III, e 4º, caput, inciso VI, alínea "d", da Resolução CMN nº 5.042, de 25 de novembro de 2022, resolve:</w:t>
      </w:r>
    </w:p>
    <w:p>
      <w:r>
        <w:t>Art. 1º Esta Resolução dispõe sobre a utilização do padrão ISO 13616 (International Bank Account Number - IBAN) como formato padrão para a identificação de contas bancárias mantidas no Brasil nas transferências internacionais de fundos, denominado formato IBAN para fins desta Resolução.</w:t>
      </w:r>
    </w:p>
    <w:p>
      <w:r>
        <w:t>Art. 2º O formato IBAN, composto por vinte e nove caracteres, segue o seguinte critério de formação:</w:t>
      </w:r>
    </w:p>
    <w:p>
      <w:r>
        <w:t>I - dois caracteres alfanuméricos correspondentes ao código do país, conforme a norma ISO 3166-1;</w:t>
      </w:r>
    </w:p>
    <w:p>
      <w:r>
        <w:t>II - dois dígitos verificadores (mod 97), conforme a norma ISO 7064;</w:t>
      </w:r>
    </w:p>
    <w:p>
      <w:r>
        <w:t>III - oito caracteres alfanuméricos correspondentes ao Identificador do participante junto ao Banco Central do Brasil para o Sistema de Pagamentos Brasileiro - ISPB, conforme as listas de participantes do Sistema de Transferência de Reservas - STR e do Sistema de Pagamentos Instantâneos - SPI divulgadas no sítio do Banco Central do Brasil;</w:t>
      </w:r>
    </w:p>
    <w:p>
      <w:r>
        <w:t>IV - cinco caracteres numéricos correspondentes à identificação da agência bancária (sem dígito verificador);</w:t>
      </w:r>
    </w:p>
    <w:p>
      <w:r>
        <w:t>V - dez caracteres numéricos correspondentes ao número de conta do cliente (com dígito verificador);</w:t>
      </w:r>
    </w:p>
    <w:p>
      <w:r>
        <w:t>VI - um caractere alfanumérico correspondente ao tipo de conta, conforme dicionário de tipos do Catálogo de Serviços do Sistema Financeiro Nacional (segundo caractere); e</w:t>
      </w:r>
    </w:p>
    <w:p>
      <w:r>
        <w:t>VII - um caractere alfanumérico correspondente à identificação do titular da conta, de acordo com a ordem na listagem de titulares.</w:t>
      </w:r>
    </w:p>
    <w:p>
      <w:r>
        <w:t>§ 1º A identificação do titular da conta, de que trata o inciso VII do caput, será realizada mediante:</w:t>
      </w:r>
    </w:p>
    <w:p>
      <w:r>
        <w:t>I - a atribuição dos numerais "1" para o primeiro ou único titular, "2" para o segundo titular e assim por diante, até o nono titular; ou</w:t>
      </w:r>
    </w:p>
    <w:p>
      <w:r>
        <w:t>II - a atribuição das letras "A" para o décimo titular, "B" para o décimo primeiro e assim por diante, utilizando os caracteres alfabéticos de "A" a "Z" (incluindo "K", "W" e "Y").</w:t>
      </w:r>
    </w:p>
    <w:p>
      <w:r>
        <w:t>§ 2º A validação do formato padrão não deve diferenciar caracteres maiúsculos e minúsculos.</w:t>
      </w:r>
    </w:p>
    <w:p>
      <w:r>
        <w:t>§ 3º Os campos numéricos devem, sempre que necessário, ser preenchidos com zeros à esquerda.</w:t>
      </w:r>
    </w:p>
    <w:p>
      <w:r>
        <w:t>§ 4º A apresentação do formato IBAN deve ser feita em grupos de quatro caracteres separados por espaço, com todos os caracteres em maiúsculo, com vistas a facilitar a sua automação e a sua leitura, inclusive a eletrônica.</w:t>
      </w:r>
    </w:p>
    <w:p>
      <w:r>
        <w:t>Art. 3º As instituições financeiras e demais instituições autorizadas a funcionar pelo Banco Central do Brasil, com referência às transferências internacionais de fundos para crédito de seus clientes, devem:</w:t>
      </w:r>
    </w:p>
    <w:p>
      <w:r>
        <w:t>I - fornecer a identificação da conta no formato IBAN a seus clientes, a qualquer tempo, sob sua demanda; e</w:t>
      </w:r>
    </w:p>
    <w:p>
      <w:r>
        <w:t>II - acatar as transferências realizadas com a utilização do formato IBAN, efetuando as validações de sua responsabilidade.</w:t>
      </w:r>
    </w:p>
    <w:p>
      <w:r>
        <w:t>Art. 4º Fica revogada a Circular nº 3.625, de 14 de fevereiro de 2013, publicada no Diário Oficial da União de 18 de fevereiro de 2013.</w:t>
      </w:r>
    </w:p>
    <w:p>
      <w:r>
        <w:t>Art. 5º Esta Resolução entra em vigor na data de sua publicação.</w:t>
      </w:r>
    </w:p>
    <w:p>
      <w:r>
        <w:t>GILNEU FRANCISCO ASTOLFI VIVAN</w:t>
      </w:r>
    </w:p>
    <w:p>
      <w:r>
        <w:t>Diretor de Regulação</w:t>
      </w:r>
    </w:p>
    <w:p>
      <w:r>
        <w:t>NILTON JOSÉ SCHNEIDER DAVID</w:t>
      </w:r>
    </w:p>
    <w:p>
      <w:r>
        <w:t>Diretor de Política Monetária</w:t>
      </w:r>
    </w:p>
    <w:p>
      <w:pPr>
        <w:pStyle w:val="Heading2"/>
      </w:pPr>
      <w:r>
        <w:t>DESPACHO DECISÓRIO PR/ANPD Nº 37/2026</w:t>
      </w:r>
    </w:p>
    <w:p>
      <w:r>
        <w:t>Categoria: Ministério da Justiça e Segurança Pública/Agência Nacional de Proteção de Dados</w:t>
      </w:r>
    </w:p>
    <w:p>
      <w:r>
        <w:t>Página: 132</w:t>
      </w:r>
    </w:p>
    <w:p/>
    <w:p>
      <w:r>
        <w:t>CONSELHO DIRETOR</w:t>
      </w:r>
    </w:p>
    <w:p>
      <w:r>
        <w:t>DESPACHO DECISÓRIO PR/ANPD Nº 37/2026</w:t>
      </w:r>
    </w:p>
    <w:p>
      <w:r>
        <w:t>Processo nº 00261.000297/2021-75</w:t>
      </w:r>
    </w:p>
    <w:p>
      <w:r>
        <w:t>Interessada: ByteDance Brasil Tecnologia Ltda ("ByteDance Brasil")</w:t>
      </w:r>
    </w:p>
    <w:p>
      <w:r>
        <w:t>O CONSELHO DIRETOR DA AGÊNCIA NACIONAL DE PROTEÇÃO DE DADOS (ANPD), no uso de suas atribuições legais e regulamentares, com base nos arts. 73 e 74 do Regimento Interno da ANPD, nos termos do VOTO Nº 4/2026/GABDIR3/CD/ANPD, cujas razões acolhe e integra à presente decisão, conforme autoriza o § 1º do art. 50 da Lei nº 9.784/1999, diante do recurso administrativo interposto pela ByteDance Brasil em face do Despacho Decisório nº 32/2025/FIS/CGF, proferido pelo Superintendente de Fiscalização, que aprovou o plano de conformidade de forma condicionada ao atendimento dos requisitos previstos no Item 6.7 da Nota Técnica nº 60/2025/FIS/CGF/ANPD, decide aprovar o plano de conformidade nos termos do Despacho Decisório nº 32/2025/FIS/CGF, elencado no Item 6.7 da Nota Técnica nº 60/2025/FIS/CGF/ANPD, com a seguinte ressalva a respeito do aspecto "implantação de aferição etária robusta" : A Recorrente observará o regime jurídico de aferição etária do Estatuto Digital da Criança e do Adolescente (Lei nº 15.211, de 17 de setembro de 2025), submetendo-se (i) aos prazos previstos no cronograma de implementação de mecanismos confiáveis de aferição de idade, conforme Despacho Decisório CD/ANPD nº 35/2026, e (ii) às orientações definitivas sobre aferição etária a serem publicadas no Guia Orientativo de Mecanismos de Aferição de Idade.</w:t>
      </w:r>
    </w:p>
    <w:p>
      <w:r>
        <w:t>Em relação aos dados coletados Identifier for Advertisers - IDFA, Google Advertising ID - GAID (ou AAID), Identifier for Vendors - IDFV e Android ID (SEI nº 0184133), aos indícios levantados pela Nota Técnica nº 1/2026/CPCA/CGF/SFI/ANPD (SEI nº 0292800), bem como à correspondente resposta trazida em sede de alegações finais pela Recorrente, determina-se à Superintendência de Fiscalização que proceda à análise no âmbito do acompanhamento da execução do novo plano de conformidade e, caso configurado o descumprimento dos compromissos ali assumidos, avalie o cabimento da adoção de novas medidas, nos termos de suas competências regimentais.</w:t>
      </w:r>
    </w:p>
    <w:p>
      <w:r>
        <w:t>Em prosseguimento, publique-se no Diário Oficial da União e intime-se a recorrente para (i) fins de ciência e imediato cumprimento desta decisão, e (ii) continuidade do procedimento de fiscalização instaurado, com vistas ao acompanhamento do cumprimento do plano de conformidade.</w:t>
      </w:r>
    </w:p>
    <w:p>
      <w:r>
        <w:t>WALDEMAR GONÇALVES ORTUNHO JÚNIOR</w:t>
      </w:r>
    </w:p>
    <w:p>
      <w:r>
        <w:t>Diretor-Presidente</w:t>
      </w:r>
    </w:p>
    <w:p>
      <w:pPr>
        <w:pStyle w:val="Heading2"/>
      </w:pPr>
      <w:r>
        <w:t>Despacho Decisório nº 27/2026/CGS/SFI</w:t>
      </w:r>
    </w:p>
    <w:p>
      <w:r>
        <w:t>Categoria: Ministério da Justiça e Segurança Pública/Agência Nacional de Proteção de Dados</w:t>
      </w:r>
    </w:p>
    <w:p>
      <w:r>
        <w:t>Página: 132</w:t>
      </w:r>
    </w:p>
    <w:p/>
    <w:p>
      <w:r>
        <w:t>SUPERINTENDÊNCIA DE FISCALIZAÇÃO</w:t>
      </w:r>
    </w:p>
    <w:p>
      <w:r>
        <w:t>Despacho Decisório nº 27/2026/CGS/SFI</w:t>
      </w:r>
    </w:p>
    <w:p>
      <w:r>
        <w:t>Processo nº 00261.006648/2024-02</w:t>
      </w:r>
    </w:p>
    <w:p>
      <w:r>
        <w:t>Interessado: ByteDance Brasil Tecnologia Ltda</w:t>
      </w:r>
    </w:p>
    <w:p>
      <w:r>
        <w:t>O SUPERINTENDENTE DE FISCALIZAÇÃO DA AGÊNCIA NACIONAL DE PROTEÇÃO DE DADOS - ANPD, no uso de suas atribuições legais e regulamentares, em especial as dispostas no art. 55-J, IV, da Lei nº 13.709, de 14 de agosto de 2018 (Lei Geral de Proteção de Dados Pessoais - LGPD), c/c o art. 17, incisos I, III do Regimento Interno da ANPD, aprovado pela Portaria nº 1, de 8 de março de 2021, e o art. 55 da Resolução CD/ANPD nº 01, de 28 de outubro de 2021 (Regulamento de Fiscalização); examinando os autos do Processo em epígrafe, instaurado em face da ByteDance Brasil Tecnologia Ltda (ByteDance Brasil), inscrita no CNPJ sob o nº 27.415.911/0001-36, em razão de indícios de infração à Lei Geral de Proteção de Dados Pessoais (LGPD);</w:t>
      </w:r>
    </w:p>
    <w:p>
      <w:r>
        <w:t>CONSIDERANDO as disposições da Resolução CD/ANPD nº 4, de 24 de fevereiro de 2023, que aprovou o Regulamento de Dosimetria e Aplicação de Sanções Administrativas (Regulamento de Dosimetria); e</w:t>
      </w:r>
    </w:p>
    <w:p>
      <w:r>
        <w:t>CONSIDERANDO o teor do Relatório de Instrução nº 2/2026/CGS/SFI (0316190), cujas razões acolhe e integra à presente decisão, inclusive como motivação, com fulcro no §1º do art. 50 da Lei nº 9.784, de 29 de janeiro de 1999; decide:</w:t>
      </w:r>
    </w:p>
    <w:p>
      <w:r>
        <w:t>1. Aplicar à empresa BYTEDANCE BRASIL as sanções de:</w:t>
      </w:r>
    </w:p>
    <w:p>
      <w:r>
        <w:t>1.1 MULTA SIMPLES, nos valores de R$ 63.176.686,67 (sessenta e três milhões, cento e setenta e seis mil, seiscentos e oitenta e seis reais e sessenta e sete centavos), por infrações ao art. 7º da LGPD; de R$ 63.176.686,67 (sessenta e três milhões, cento e setenta e seis mil, seiscentos e oitenta e seis reais e sessenta e sete centavos), por infrações ao art. 6º, VIII, da LGPD; e de R$ 27.416.297,99 (vinte e sete milhões, quatrocentos e dezesseis mil, duzentos e noventa e sete reais e noventa e nove centavos), por infração ao art. 6º, X, da LGPD; totalizando R$ 153.769.671,33 (Cento e cinquenta e três milhões, setecentos e sessenta e nove mil, seiscentos e setenta e um reais e trinta e três centavos).</w:t>
      </w:r>
    </w:p>
    <w:p>
      <w:r>
        <w:t>1.1.1 Caso a autuada resolva, de acordo com o disposto no art. 18 do Regulamento de Fiscalização, renunciar expressamente ao direito de recorrer da decisão de primeira instância, fará jus a um fator de redução de 25% (vinte e cinco por cento) no valor da multa aplicada, desde que faça o recolhimento no prazo para pagamento definido no caput do art. 17 do Regulamento de Fiscalização, 20 (vinte) dias úteis, totalizando nestas circunstâncias o montante de R$ R$ 115.327.253,49 (Cento e quinze milhões, trezentos e vinte e sete mil, duzentos e cinquenta e três reais e quarenta e nove centavos).</w:t>
      </w:r>
    </w:p>
    <w:p>
      <w:r>
        <w:t>1.2 ELIMINAÇÃO de dados pessoais, por infração ao art. 7º da LGPD, dos dados pessoais de adolescentes entre 13 e 18 anos cadastrados na plataforma, cuja regularização da representação ou assistência legal não seja realizada no prazo de 60 (sessenta) dias úteis, incluindo a comunicação dessa obrigação a terceiros com quem tenha compartilhado dados pessoais dos adolescentes não regularizados, para que procedam à eliminação em suas respectivas bases.</w:t>
      </w:r>
    </w:p>
    <w:p>
      <w:r>
        <w:t>1.2.1 A autuada deverá, no prazo subsequente de 05 (cinco) dias úteis após o encerramento do prazo acima, apresentar à ANPD:</w:t>
      </w:r>
    </w:p>
    <w:p>
      <w:r>
        <w:t>1.2.1.1 Relatório técnico circunstanciado, instruído com registros de auditoria de sistema (logs) e declaração formal assinada pelo Encarregado pelo Tratamento de Dados Pessoais, comprovando e atestando o cumprimento da medida. A Agência poderá, ainda, requisitar auditoria externa e independente para atestar de forma definitiva a exclusão das informações e o devido saneamento das bases de dados, caso a documentação apresentada se mostre insuficiente para comprovar o cumprimento da sanção.</w:t>
      </w:r>
    </w:p>
    <w:p>
      <w:r>
        <w:t>1.2.1.2 Relação dos terceiros com quem houve compartilhamento de dados pessoais de adolescentes não regularizados, com a comprovação de realização da comunicação sobre a obrigação de exclusão dos dados compartilhados. Essa comprovação deverá ser consolidada e integrar o relatório técnico circunstanciado devido à ANPD conforme determinado no item 1.2.1.1 acima.</w:t>
      </w:r>
    </w:p>
    <w:p>
      <w:r>
        <w:t>1.2.2 Impõe-se MULTA DIÁRIA no valor de R$ 137.081,49 (cento e trinta e sete mil e oitenta e um reais e quarenta e nove centavos), correspondente a 0,5% (zero vírgula cinco por cento) do montante da multa simples aplicada para a Conduta 3 (tratar dados pessoais de crianças e de adolescentes menores de 18 anos com a finalidade de realizar o cadastro na plataforma Tiktok sem hipótese legal válida, diante da inexistência de um contrato válido - art. 7º da LGPD), por dia de atraso, com fulcro no art. 52, inciso III, da LGPD, sem prejuízo da disciplina prevista nos artigos 16 e seguintes do Regulamento de Dosimetria, para a hipótese de descumprimento de cada uma das obrigações abaixo descritas:</w:t>
      </w:r>
    </w:p>
    <w:p>
      <w:r>
        <w:t>1.2.2.1 Obrigação de eliminação dos dados pessoais de adolescentes entre 13 e 18 anos cadastrados na plataforma cuja regularização não tenha sido realizada;</w:t>
      </w:r>
    </w:p>
    <w:p>
      <w:r>
        <w:t>1.2.2.2 Obrigação de apresentar relatório técnico circunstanciado assinado pelo Encarregado pelo Tratamento de Dados Pessoais, acompanhado por registros de auditoria de sistema (logs);</w:t>
      </w:r>
    </w:p>
    <w:p>
      <w:r>
        <w:t>1.2.2.3 Obrigação de comunicar a terceiros com quem tenha compartilhado dados pessoais dos adolescentes não regularizados a necessidade de eliminação dos dados pessoais compartilhados; ou</w:t>
      </w:r>
    </w:p>
    <w:p>
      <w:r>
        <w:t>1.2.2.4 Obrigação de apresentar no relatório técnico circunstanciado a comprovação de que realizou a comunicação sobre a obrigação de exclusão dos dados compartilhados determinada no item 1.2.1.2.</w:t>
      </w:r>
    </w:p>
    <w:p>
      <w:r>
        <w:t>2. INTIME-SE a autuada para:</w:t>
      </w:r>
    </w:p>
    <w:p>
      <w:r>
        <w:t>2.1 Cumprimento das sanções previstas nos itens 1.1 e 1.2 deste Despacho Decisório.</w:t>
      </w:r>
    </w:p>
    <w:p>
      <w:r>
        <w:t>2.1.1 Advirto a autuada, em atenção ao art. 55, §2º, II, do Regulamento de Fiscalização, que a multa deverá ser paga no prazo de até 20 (vinte) dias úteis, contados a partir da ciência oficial da decisão de aplicação da sanção, conforme dispõe o art. 17 do Regulamento de Dosimetria. Notifico a autuada, ainda, que o não pagamento no prazo acima enseja a incidência de encargos, conforme prevê o §3º do art. 17 do Regulamento de Dosimetria.</w:t>
      </w:r>
    </w:p>
    <w:p>
      <w:r>
        <w:t>2.2 Ciência do prazo de 10 (dez) dias úteis para apresentação de recurso, em consonância com o art. 58 do Regulamento de Fiscalização.</w:t>
      </w:r>
    </w:p>
    <w:p>
      <w:r>
        <w:t>2.2.1 Alternativamente, manifestar-se, no prazo de 10 (dez) dias úteis, sobre o eventual interesse em renunciar ao direito de recorrer da presente decisão para fazer jus à redução de 25% (vinte e cinco por cento) no valor da multa aplicada, nos termos do art. 18 do Regulamento de Dosimetria.</w:t>
      </w:r>
    </w:p>
    <w:p>
      <w:r>
        <w:t>3. Os prazos estabelecidos nessa decisão serão contados nos termos do art. 12, I, do Regulamento de Fiscalização.</w:t>
      </w:r>
    </w:p>
    <w:p>
      <w:r>
        <w:t>4. Encaminhe-se este processo à Superintendência de Gestão Interna, após o prazo indicado no item 2.2.1, para a emissão de Guia de Recolhimento da União (GRU).</w:t>
      </w:r>
    </w:p>
    <w:p>
      <w:r>
        <w:t>5. Aguarde-se o trânsito em julgado. Após, em caso de não cumprimento desta decisão, encaminhe-se este Processo Administrativo Sancionador para a Procuradoria Federal Especializada - PFE da ANPD para a execução da multa cominada, sob pena de inscrição do autuado no Cadastro Informativo de Créditos não Quitados do Setor Público Federal (Cadin) e na Dívida Ativa da União, nos termos do art. 56 c/c art. 67 do Regulamento de Fiscalização.</w:t>
      </w:r>
    </w:p>
    <w:p>
      <w:r>
        <w:t>6. Publique-se no Diário Oficial da União, segundo o art. 55 do Regulamento de Fiscalização.</w:t>
      </w:r>
    </w:p>
    <w:p>
      <w:r>
        <w:t>FABRÍCIO GUIMARÃES MADRUGA LOPES</w:t>
      </w:r>
    </w:p>
    <w:p>
      <w:pPr>
        <w:pStyle w:val="Heading2"/>
      </w:pPr>
      <w:r>
        <w:t>Portaria Previc Nº 570, DE 27 DE julho DE 2026</w:t>
      </w:r>
    </w:p>
    <w:p>
      <w:r>
        <w:t>Categoria: Ministério da Previdência Social/Superintendência Nacional de Previdência Complementar/Diretoria de Licenciamento</w:t>
      </w:r>
    </w:p>
    <w:p>
      <w:r>
        <w:t>Página: 144</w:t>
      </w:r>
    </w:p>
    <w:p/>
    <w:p>
      <w:r>
        <w:t>Portaria Previc Nº 570, DE 27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44011.011465/2025-07, resolve:</w:t>
      </w:r>
    </w:p>
    <w:p>
      <w:r>
        <w:t>Art. 1º Aprovar as alterações propostas ao regulamento do Plano de Contribuição Variável da Patrocinadora CTS (em alteração para Plano de Contribuição Variável da Patrocinadora CTB), CNPB nº 2008.0016-19, administrado pela Fundação Rede Ferroviária de Seguridade Social - REFER, CNPJ nº 30.277.685/0001-89.</w:t>
      </w:r>
    </w:p>
    <w:p>
      <w:r>
        <w:t>Art. 2º Esta Portaria entra em vigor na data de sua publicação.</w:t>
      </w:r>
    </w:p>
    <w:p>
      <w:r>
        <w:t>GUILHERME CAPRIATA VACCARO CAMPELO BEZERRA</w:t>
      </w:r>
    </w:p>
    <w:p>
      <w:pPr>
        <w:pStyle w:val="Heading2"/>
      </w:pPr>
      <w:r>
        <w:t>Portaria Previc Nº 614, DE 12 DE agosto DE 2026</w:t>
      </w:r>
    </w:p>
    <w:p>
      <w:r>
        <w:t>Categoria: Ministério da Previdência Social/Superintendência Nacional de Previdência Complementar/Diretoria de Licenciamento</w:t>
      </w:r>
    </w:p>
    <w:p>
      <w:r>
        <w:t>Página: 144</w:t>
      </w:r>
    </w:p>
    <w:p/>
    <w:p>
      <w:r>
        <w:t>Portaria Previc Nº 614, DE 12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44011.011493/2025-16, resolve:</w:t>
      </w:r>
    </w:p>
    <w:p>
      <w:r>
        <w:t>Art. 1º Aprovar as alterações propostas ao regulamento do Plano de Contribuição Variável da Patrocinadora RIOTRILHOS, CNPB nº 1994.0009-29, administrado pela Fundação Rede Ferroviária de Seguridade Social - REFER, CNPJ nº 30.277.685/0001-89.</w:t>
      </w:r>
    </w:p>
    <w:p>
      <w:r>
        <w:t>Art. 2º Esta Portaria entra em vigor na data de sua publicação.</w:t>
      </w:r>
    </w:p>
    <w:p>
      <w:r>
        <w:t>GUILHERME CAPRIATA VACCARO CAMPELO BEZERRA</w:t>
      </w:r>
    </w:p>
    <w:p>
      <w:pPr>
        <w:pStyle w:val="Heading2"/>
      </w:pPr>
      <w:r>
        <w:t>Portaria Previc Nº 631, DE 18 DE agosto DE 2026</w:t>
      </w:r>
    </w:p>
    <w:p>
      <w:r>
        <w:t>Categoria: Ministério da Previdência Social/Superintendência Nacional de Previdência Complementar/Diretoria de Licenciamento</w:t>
      </w:r>
    </w:p>
    <w:p>
      <w:r>
        <w:t>Página: 144</w:t>
      </w:r>
    </w:p>
    <w:p/>
    <w:p>
      <w:r>
        <w:t>Portaria Previc Nº 631, DE 18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44011.012971/2025-13, resolve:</w:t>
      </w:r>
    </w:p>
    <w:p>
      <w:r>
        <w:t>Art.1º Aprovar as alterações propostas ao regulamento do Plano Ajinomoto de Previdência, CNPB nº 1999.0017-29, administrado pelo Icatu Fundo Multipatrocinado, CNPJ nº 01.129.017/0001-06.</w:t>
      </w:r>
    </w:p>
    <w:p>
      <w:r>
        <w:t>Art.2º Esta Portaria entra em vigor na data de sua publicação.</w:t>
      </w:r>
    </w:p>
    <w:p>
      <w:r>
        <w:t>GUILHERME CAPRIATA VACCARO CAMPELO BEZERRA</w:t>
      </w:r>
    </w:p>
    <w:p>
      <w:pPr>
        <w:pStyle w:val="Heading2"/>
      </w:pPr>
      <w:r>
        <w:t>Portaria Previc Nº 643, DE 21 DE agosto DE 2026</w:t>
      </w:r>
    </w:p>
    <w:p>
      <w:r>
        <w:t>Categoria: Ministério da Previdência Social/Superintendência Nacional de Previdência Complementar/Diretoria de Licenciamento</w:t>
      </w:r>
    </w:p>
    <w:p>
      <w:r>
        <w:t>Página: 144</w:t>
      </w:r>
    </w:p>
    <w:p/>
    <w:p>
      <w:r>
        <w:t>Portaria Previc Nº 643, DE 21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44011.012963/2025-69, resolve:</w:t>
      </w:r>
    </w:p>
    <w:p>
      <w:r>
        <w:t>Art. 1º Aprovar as alterações propostas ao regulamento do Plano de Benefícios da PPG, CNPB nº 1999.0016-56, administrado pelo Icatu Fundo Multipatrocinado, CNPJ nº 01.129.017/0001-06.</w:t>
      </w:r>
    </w:p>
    <w:p>
      <w:r>
        <w:t>Art. 2º Esta Portaria entra em vigor na data de sua publicação.</w:t>
      </w:r>
    </w:p>
    <w:p>
      <w:r>
        <w:t>GUILHERME CAPRIATA VACCARO CAMPELO BEZERRA</w:t>
      </w:r>
    </w:p>
    <w:p>
      <w:pPr>
        <w:pStyle w:val="Heading2"/>
      </w:pPr>
      <w:r>
        <w:t>Portaria Previc Nº 644, DE 21 DE agosto DE 2026</w:t>
      </w:r>
    </w:p>
    <w:p>
      <w:r>
        <w:t>Categoria: Ministério da Previdência Social/Superintendência Nacional de Previdência Complementar/Gabinete</w:t>
      </w:r>
    </w:p>
    <w:p>
      <w:r>
        <w:t>Página: 144</w:t>
      </w:r>
    </w:p>
    <w:p/>
    <w:p>
      <w:r>
        <w:t>Portaria Previc Nº 644, DE 21 DE agosto DE 2026</w:t>
      </w:r>
    </w:p>
    <w:p>
      <w:r>
        <w:t>O DIRETOR-SUPERINTENDENTE DA SUPERINTENDÊNCIA NACIONAL DE PREVIDÊNCIA COMPLEMENTAR - PREVIC, no uso da atribuição que lhe confere o inciso III do art. 20 do Anexo I do Decreto nº 11.241, de 18 de outubro de 2022, torna pública a decisão da Diretoria Colegiada da Previc proferida na 796ª Sessão Ordinária, realizada em 18 de agosto de 2026, com fundamento no inciso VI do artigo 2° e no inciso IX do artigo 12, ambos do Anexo I do Decreto nº 11.241, de 18 de outubro de 2022, e no Processo 44011.001210/2023-66, CONSIDERANDO:</w:t>
      </w:r>
    </w:p>
    <w:p>
      <w:r>
        <w:t>(i) a Nota da Fiscalização nº 515/2026/PREVIC, de 14 de agosto de 2026 (SEI nº 0964575), e</w:t>
      </w:r>
    </w:p>
    <w:p>
      <w:r>
        <w:t>(ii) o Despacho Decisório nº 146/2026/CGDC/DICOL, de 18 de agosto de 2026 (SEI nº 0965549), resolve:</w:t>
      </w:r>
    </w:p>
    <w:p>
      <w:r>
        <w:t>Art. 1º Prorrogar por 12 (doze) meses o prazo de que trata a Portaria Previc nº 137, de 12 de fevereiro de 2026, publicada no DOU nº 33, de 19 de fevereiro de 2026, referente à intervenção na CAPAF - Caixa de Previdência Complementar do Banco da Amazônia.</w:t>
      </w:r>
    </w:p>
    <w:p>
      <w:r>
        <w:t>Art. 2º Esta Portaria entra em vigor a contar de 28 de agosto de 2026, com vigência até o dia 27 de agosto de 2027.</w:t>
      </w:r>
    </w:p>
    <w:p>
      <w:r>
        <w:t>RICARDO PENA PINHEIRO</w:t>
      </w:r>
    </w:p>
    <w:p>
      <w:r>
        <w:br w:type="page"/>
      </w:r>
    </w:p>
    <w:p>
      <w:pPr>
        <w:pStyle w:val="Heading1"/>
      </w:pPr>
      <w:r>
        <w:t>2026-08-26</w:t>
      </w:r>
    </w:p>
    <w:p>
      <w:pPr>
        <w:pStyle w:val="Heading2"/>
      </w:pPr>
      <w:r>
        <w:t>PORTARIA CGCCR/SUSEP nº 28, de 24 de Agosto de 2026</w:t>
      </w:r>
    </w:p>
    <w:p>
      <w:r>
        <w:t>Categoria: Ministério da Fazenda/Superintendência de Seguros Privados/Diretoria de Organização de Mercado e Regulação de Conduta/Coordenação-Geral de Credenciamentos, Cadastros e Regimes Especiais</w:t>
      </w:r>
    </w:p>
    <w:p>
      <w:r>
        <w:t>Página: 46</w:t>
      </w:r>
    </w:p>
    <w:p/>
    <w:p>
      <w:r>
        <w:t>PORTARIA CGCCR/SUSEP nº 28, de 24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III do art. 4º da Lei Complementar nº 126, de 15 de janeiro de 2007, no inciso II do art. 5º, no §2º do art. 26 e no §7º do art. 28, todos da Resolução CNSP nº 422, de 11 de novembro de 2021, e o que consta do processo Susep nº 15414.636109/2026-32, resolve:</w:t>
      </w:r>
    </w:p>
    <w:p>
      <w:r>
        <w:t>Art 1º. Fica homologada a atualização cadastral anual de 2026 de SOLEN VERSICHERUNGEN AG, sociedade constituída e existente segundo as leis da Suíça, cadastrada como ressegurador eventual, conforme Portaria Susep nº 3.367, de 29 de dezembro de 2009.</w:t>
      </w:r>
    </w:p>
    <w:p>
      <w:r>
        <w:t>Art.2ºFica ratificado que o Sr. Giuliano Tagliari exerce a função de procurador.</w:t>
      </w:r>
    </w:p>
    <w:p>
      <w:r>
        <w:t>Art.3º Esta Portaria entra em vigor na data de sua publicação.</w:t>
      </w:r>
    </w:p>
    <w:p>
      <w:r>
        <w:t>JONAS DOS SANTOS SOUSA</w:t>
      </w:r>
    </w:p>
    <w:p>
      <w:pPr>
        <w:pStyle w:val="Heading2"/>
      </w:pPr>
      <w:r>
        <w:t>PORTARIA CGCCR/SUSEP nº 29, de 24 de agosto de 2026</w:t>
      </w:r>
    </w:p>
    <w:p>
      <w:r>
        <w:t>Categoria: Ministério da Fazenda/Superintendência de Seguros Privados/Diretoria de Organização de Mercado e Regulação de Conduta/Coordenação-Geral de Credenciamentos, Cadastros e Regimes Especiais</w:t>
      </w:r>
    </w:p>
    <w:p>
      <w:r>
        <w:t>Página: 46</w:t>
      </w:r>
    </w:p>
    <w:p/>
    <w:p>
      <w:r>
        <w:t>PORTARIA CGCCR/SUSEP nº 29, de 24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artigo 12 da Lei Complementar nº 126, de 15 de janeiro de 2007, no inciso V do art. 5º e art. 43, todos da Resolução CNSP nº 422, de 11 de novembro de 2021, e o que consta do processo Susep nº 15414.631710/2026-39, resolve:</w:t>
      </w:r>
    </w:p>
    <w:p>
      <w:r>
        <w:t>Art1º. Ficam homologadas as seguintes deliberações tomadas pela acionista única da GALLAGHER BRASIL CORRETORA DE RESSEGUROS LTDA, CNPJ nº 10.260.613/0001-11, com sede na cidade de São Paulo, conforme deliberado na 7ª alteração de contrato social realizada em 02 de julho de 2026:</w:t>
      </w:r>
    </w:p>
    <w:p>
      <w:r>
        <w:t>I-eleição da Sra. Guadalupe de Andrade Nascimento para o cargo de Diretora de Controles Internos;</w:t>
      </w:r>
    </w:p>
    <w:p>
      <w:r>
        <w:t>II-eleição do Sr. Thiago Monnerat Navega para o cargo de Diretor Administrativo; e,</w:t>
      </w:r>
    </w:p>
    <w:p>
      <w:r>
        <w:t>III-consolidação do contrato social.</w:t>
      </w:r>
    </w:p>
    <w:p>
      <w:r>
        <w:t>Art.2º Esta Portaria entra em vigor na data de sua publicação.</w:t>
      </w:r>
    </w:p>
    <w:p>
      <w:r>
        <w:t>JONAS DOS SANTOS SOUSA</w:t>
      </w:r>
    </w:p>
    <w:p>
      <w:pPr>
        <w:pStyle w:val="Heading2"/>
      </w:pPr>
      <w:r>
        <w:t>INSTRUÇÃO NORMATIVA BCB Nº 770, DE 22 DE AGOSTO DE 2026</w:t>
      </w:r>
    </w:p>
    <w:p>
      <w:pPr>
        <w:pStyle w:val="ListBullet"/>
      </w:pPr>
      <w:r>
        <w:t>Ementa: Divulga o calendário referente aos pontos de controle do processo de publicação em produção da versão 2.7.0 (ou posterior) da API Operações de Crédito - Empréstimos e da versão 1.1.0 (ou posterior) da API Portabilidade de Crédito - Crédito Pessoal sem Consignação do Open Finance.</w:t>
      </w:r>
    </w:p>
    <w:p>
      <w:r>
        <w:t>Categoria: Banco Central do Brasil/Área de Regulação/Departamento de Regulação do Sistema Financeiro</w:t>
      </w:r>
    </w:p>
    <w:p>
      <w:r>
        <w:t>Página: 139</w:t>
      </w:r>
    </w:p>
    <w:p/>
    <w:p>
      <w:r>
        <w:t>INSTRUÇÃO NORMATIVA BCB Nº 770, DE 22 DE AGOSTO DE 2026</w:t>
      </w:r>
    </w:p>
    <w:p>
      <w:r>
        <w:t>Divulga o calendário referente aos pontos de controle do processo de publicação em produção da versão 2.7.0 (ou posterior) da API Operações de Crédito - Empréstimos e da versão 1.1.0 (ou posterior) da API Portabilidade de Crédito - Crédito Pessoal sem Consignação do Open Finance.</w:t>
      </w:r>
    </w:p>
    <w:p>
      <w:r>
        <w:t>Os Chefes do Departamento de Regulação do Sistema Financeiro (Denor), do Departamento de Supervisão de Cooperativas e de Instituições Não Bancárias (Desuc) e do Departamento de Supervisão Bancária (Desup), no uso da atribuição que lhes confere o art. 23, inciso I, alínea "a", do Regimento Interno do Banco Central do Brasil, anexo à Resolução BCB nº 340, de 21 de setembro de 2023, com base no art. 51, inciso IX, da Resolução Conjunta nº 1, de 4 de maio de 2020, resolvem:</w:t>
      </w:r>
    </w:p>
    <w:p>
      <w:r>
        <w:t>Art. 1º Esta Instrução Normativa divulga o calendário referente aos pontos de controle do processo de publicação em produção da versão 2.7.0 (ou posterior) da API Operações de Crédito - Empréstimos e da versão 1.1.0 (ou posterior) da API Portabilidade de Crédito - Crédito Pessoal sem Consignação do Open Finance.</w:t>
      </w:r>
    </w:p>
    <w:p>
      <w:r>
        <w:t>Art. 2º As instituições participantes devem cumprir o seguinte calendário referente aos pontos de controle do processo de publicação em produção das APIs mencionadas no art. 1º:</w:t>
      </w:r>
    </w:p>
    <w:p>
      <w:r>
        <w:t>I - até 14 de setembro de 2026, para execução dos testes no motor de conformidade, com obtenção de sucesso em 100% dos módulos de teste; e</w:t>
      </w:r>
    </w:p>
    <w:p>
      <w:r>
        <w:t>II - em 3 de novembro de 2026, às 19h00, para publicação no diretório e em ambiente produtivo.</w:t>
      </w:r>
    </w:p>
    <w:p>
      <w:r>
        <w:t>Art. 3º As instituições participantes, tendo em vista o disposto no art. 2º, devem garantir que a Estrutura de Governança do Open Finance cumpra o seguinte calendário referente aos pontos de controle do processo de publicação em produção das APIs mencionadas no art. 1º:</w:t>
      </w:r>
    </w:p>
    <w:p>
      <w:r>
        <w:t>I - até 27 de agosto de 2026, para disponibilização de versão atualizada do Guia de Experiência do Usuário;</w:t>
      </w:r>
    </w:p>
    <w:p>
      <w:r>
        <w:t>II - até 28 de agosto de 2026, para disponibilização da versão release candidate do motor de certificação; e</w:t>
      </w:r>
    </w:p>
    <w:p>
      <w:r>
        <w:t>III - até 23 de outubro de 2026, para disponibilização da versão estável do motor de certificação.</w:t>
      </w:r>
    </w:p>
    <w:p>
      <w:r>
        <w:t>Art. 4º Esta Instrução Normativa entra em vigor na data de sua publicação.</w:t>
      </w:r>
    </w:p>
    <w:p>
      <w:r>
        <w:t>MARDILSON FERNANDES QUEIROZ</w:t>
      </w:r>
    </w:p>
    <w:p>
      <w:r>
        <w:t>Chefe do Departamento de Regulação do Sistema Financeiro</w:t>
      </w:r>
    </w:p>
    <w:p>
      <w:r>
        <w:t>ADALBERTO FELINTO DA CRUZ JUNIOR</w:t>
      </w:r>
    </w:p>
    <w:p>
      <w:r>
        <w:t>Chefe do Departamento de Supervisão de Cooperativas e de Instituições Não Bancárias</w:t>
      </w:r>
    </w:p>
    <w:p>
      <w:r>
        <w:t>RICARDO SIVIERI ZENI</w:t>
      </w:r>
    </w:p>
    <w:p>
      <w:r>
        <w:t>Chefe do Departamento de Supervisão Bancária</w:t>
      </w:r>
    </w:p>
    <w:p>
      <w:pPr>
        <w:pStyle w:val="Heading2"/>
      </w:pPr>
      <w:r>
        <w:t>Portaria Previc Nº 637, DE 19 DE agosto DE 2026</w:t>
      </w:r>
    </w:p>
    <w:p>
      <w:r>
        <w:t>Categoria: Ministério da Previdência Social/Superintendência Nacional de Previdência Complementar/Diretoria de Licenciamento</w:t>
      </w:r>
    </w:p>
    <w:p>
      <w:r>
        <w:t>Página: 67</w:t>
      </w:r>
    </w:p>
    <w:p/>
    <w:p>
      <w:r>
        <w:t>Portaria Previc Nº 637, DE 19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44011.000635/2022-77, resolve:</w:t>
      </w:r>
    </w:p>
    <w:p>
      <w:r>
        <w:t>Art.1º Cancelar o CNPB nº 2022.0008-38, do Plano de Benefícios PrevEduca, administrado pela MONGERAL Aegon Fundo de Pensão, CNPJ nº 07.146.074/0001-80, autorizado nos termos da Portaria Previc nº 221, publicada no Diário Oficial da União do dia 08 de março de 2022.</w:t>
      </w:r>
    </w:p>
    <w:p>
      <w:r>
        <w:t>Art.2º Cancelar o Convênio de Adesão da Associação Nacional das Universidades Particulares, CNPJ nº 26.445.429/0001-86, na condição de instituidora do Plano PrevEduca, autorizado nos termos da Portaria Previc nº 221, publicada no Diário Oficial da União do dia 08 de março de 2022.</w:t>
      </w:r>
    </w:p>
    <w:p>
      <w:r>
        <w:t>Art.3º Esta Portaria entra em vigor na data de sua publicação.</w:t>
      </w:r>
    </w:p>
    <w:p>
      <w:r>
        <w:t>Guilherme Capriata Vaccaro Campelo Bezerra</w:t>
      </w:r>
    </w:p>
    <w:p>
      <w:pPr>
        <w:pStyle w:val="Heading2"/>
      </w:pPr>
      <w:r>
        <w:t>Portaria Previc Nº 642, DE 21 DE agosto DE 2026</w:t>
      </w:r>
    </w:p>
    <w:p>
      <w:r>
        <w:t>Categoria: Ministério da Previdência Social/Superintendência Nacional de Previdência Complementar/Diretoria de Licenciamento</w:t>
      </w:r>
    </w:p>
    <w:p>
      <w:r>
        <w:t>Página: 68</w:t>
      </w:r>
    </w:p>
    <w:p/>
    <w:p>
      <w:r>
        <w:t>Portaria Previc Nº 642, DE 21 DE agosto DE 2026</w:t>
      </w:r>
    </w:p>
    <w:p>
      <w:r>
        <w:t>O DIRETOR DE LICENCIAMENTO, no uso das atribuições que lhe confere as alíneas "c", "d" e "l" do inciso I do art. 66 da Portaria Previc nº 861, de 9 de outubro de 2024 (Regimento Interno da Superintendência Nacional de Previdência Complementar - Previc), e considerando as manifestações técnicas exaradas no Processo nº44011.011018/2025-40, resolve:</w:t>
      </w:r>
    </w:p>
    <w:p>
      <w:r>
        <w:t>Art. 1º Autorizar a incorporação da ELOS - Fundação Eletrosul de Previdência Complementar, CNPJ nº 42.286.245/0001-77 pela ELETROBRASPREV - Fundação de Previdência Privada, CNPJ nº 60.977.255/0001-30.</w:t>
      </w:r>
    </w:p>
    <w:p>
      <w:r>
        <w:t>Art. 2º Autorizar a aplicação das alterações propostas ao regulamento do Plano de Benefícios Previdenciários nº 1 CD/Eletrosul, CNPB nº 2009.0037-56, a ser administrado pela ELETROBRASPREV - Fundação de Previdência Privada, CNPJ nº 60.977.255/0001-30.</w:t>
      </w:r>
    </w:p>
    <w:p>
      <w:r>
        <w:t>Art. 3º Autorizar a aplicação das alterações propostas ao regulamento do Plano de Benefícios BD - Eletrosul, CNPB nº 1974.0002-65, a ser administrado pela ELETROBRASPREV - Fundação de Previdência Privada, CNPJ nº 60.977.255/0001-30.</w:t>
      </w:r>
    </w:p>
    <w:p>
      <w:r>
        <w:t>Art. 4º Autorizar a aplicação das alterações propostas ao regulamento do Plano Único CGTEE, CNPB nº 1979.0045-11, a ser administrado pela ELETROBRASPREV - Fundação de Previdência Privada, CNPJ nº 60.977.255/0001-30.</w:t>
      </w:r>
    </w:p>
    <w:p>
      <w:r>
        <w:t>Art. 5º Autorizar a aplicação das alterações propostas ao regulamento do Plano de Contribuição Definida - NCD, CNPB nº 2020.0022-56, a ser administrado pela ELETROBRASPREV - Fundação de Previdência Privada, CNPJ nº 60.977.255/0001-30.</w:t>
      </w:r>
    </w:p>
    <w:p>
      <w:r>
        <w:t>Art. 6º Autorizar a aplicação das alterações propostas ao regulamento do Plano Instituído Futurize, CNPB nº 2023.0005-56, a ser administrado pela ELETROBRASPREV - Fundação de Previdência Privada, CNPJ nº 60.977.255/0001-30.</w:t>
      </w:r>
    </w:p>
    <w:p>
      <w:r>
        <w:t>Art. 7º Autorizar o Convênio de Adesão celebrado entre a COMPANHIA DE GERAÇÃO E TRANSMISSÃO DE ENERGIA ELETRICA DO SUL DO BRASIL - AXIA ENERGIA SUL, CNPJ nº 02.016.507/0001-69, na condição de patrocinadora do Plano de Benefícios BD - Eletrosul, CNPB nº 1974.0002-65, e a ELETROBRASPREV - Fundação de Previdência Privada, CNPJ nº 60.977.255/0001-30.</w:t>
      </w:r>
    </w:p>
    <w:p>
      <w:r>
        <w:t>Art. 8º Autorizar o Convênio de Adesão celebrado entre a COMPANHIA DE GERAÇÃO E TRANSMISSÃO DE ENERGIA ELETRICA DO SUL DO BRASIL - AXIA ENERGIA SUL, CNPJ nº 02.016.507/0001-69, na condição de patrocinadora do Plano de Benefícios Previdenciários nº 01 - CD/ELETROSUL, CNPB nº 2009.0037-56, e a ELETROBRASPREV - Fundação de Previdência Privada, CNPJ nº 60.977.255/0001-30.</w:t>
      </w:r>
    </w:p>
    <w:p>
      <w:r>
        <w:t>Art. 9º Autorizar o Convênio de Adesão celebrado entre a COMPANHIA DE GERAÇÃO E TRANSMISSÃO DE ENERGIA ELETRICA DO SUL DO BRASIL - AXIA ENERGIA SUL, CNPJ nº 02.016.507/0001-69, na condição de patrocinadora do Plano ÚNICO CGTEE, CNPB nº 1979.0045-11, e a ELETROBRASPREV - Fundação de Previdência Privada, CNPJ nº 60.977.255/0001-30.</w:t>
      </w:r>
    </w:p>
    <w:p>
      <w:r>
        <w:t>Art.10 Autorizar o Convênio de Adesão celebrado entre a CONSÓRCIO UHE BAGUARI, CNPJ nº 07.884.280/0001-97, na condição de patrocinadora do Plano de Contribuição Definida - NCD, CNPB nº 2020.0022-56, e a ELETROBRASPREV - Fundação de Previdência Privada, CNPJ nº 60.977.255/0001-30.</w:t>
      </w:r>
    </w:p>
    <w:p>
      <w:r>
        <w:t>Art. 11 Autorizar o Convênio de Adesão celebrado entre a CENTRO DE PESQUISAS DE ENERGIA ELÉTRICA - CEPEL, CNPJ nº 42.288.886/0001-60, na condição de patrocinadora do Plano de Contribuição Definida - NCD, CNPB nº 2020.0022-56, e a ELETROBRASPREV - Fundação de Previdência Privada, CNPJ nº 60.977.255/0001-30.</w:t>
      </w:r>
    </w:p>
    <w:p>
      <w:r>
        <w:t>Art. 12 Autorizar o Convênio de Adesão celebrado entre a COMPANHIA HIDRO ELÉTRICA DO SÃO FRANCISCO - AXIA ENERGIA NORDESTE, CNPJ nº 33.541.368/0001-16, na condição de patrocinadora do Plano de Contribuição Definida - NCD, CNPB nº 2020.0022-56, e a ELETROBRASPREV - Fundação de Previdência Privada, CNPJ nº 60.977.255/0001-30.</w:t>
      </w:r>
    </w:p>
    <w:p>
      <w:r>
        <w:t>Art. 13 Autorizar o Convênio de Adesão celebrado entre a CENTRAIS ELÉTRICAS BRASILEIRAS S.A. - AXIA ENERGIA, CNPJ nº 00.001.180/0001-26, na condição de patrocinadora do Plano de Contribuição Definida - NCD, CNPB nº 2020.0022-56, e a ELETROBRASPREV - Fundação de Previdência Privada, CNPJ nº 60.977.255/0001-30.</w:t>
      </w:r>
    </w:p>
    <w:p>
      <w:r>
        <w:t>Art. 14 Autorizar o Convênio de Adesão celebrado entre a CENTRAIS ELÉTRICAS DO NORTE DO BRASIL S.A. - AXIA ENERGIA NORTE, CNPJ nº 00.357.038/0001- 16, na condição de patrocinadora do Plano de Contribuição Definida - NCD, CNPB nº 2020.0022-56, e a ELETROBRASPREV - Fundação de Previdência Privada, CNPJ nº 60.977.255/0001-30.</w:t>
      </w:r>
    </w:p>
    <w:p>
      <w:r>
        <w:t>Art. 15 Autorizar o Convênio de Adesão celebrado entre a COMPANHIA DE GERAÇÃO E TRANSMISSÃO DE ENERGIA ELÉTRICA DO SUL DO BRASIL - AXIA ENERGIA SUL, CNPJ nº 02.016.507/0001-69, na condição de patrocinadora do Plano de Contribuição Definida - NCD, CNPB nº 2020.0022-56, e a ELETROBRASPREV - Fundação de Previdência Privada, CNPJ nº 60.977.255/0001-30.</w:t>
      </w:r>
    </w:p>
    <w:p>
      <w:r>
        <w:t>Art. 16 Autorizar o Convênio de Adesão celebrado entre a ABRAPP - ASSOCIAÇÃO BRASILEIRA DAS ENTIDADES FECHADAS DE PREVIDÊNCIA COMPLEMENTAR, CNPJ nº 50.258.623/0001-37, na condição de patrocinadora do Plano Instituído Futurize, CNPB nº 2023.0005-56, e a ELETROBRASPREV - Fundação de Previdência Privada, CNPJ nº 60.977.255/0001-30.</w:t>
      </w:r>
    </w:p>
    <w:p>
      <w:r>
        <w:t>Art. 17 Autorizar o Convênio de Adesão celebrado entre a RETIRO BAIXO ENERGÉTICA S.A., CNPJ nº 07.783.055/0001-64, na condição de patrocinadora do Plano de Contribuição Definida - NCD, CNPB nº 2020.0022-56, e a ELETROBRASPREV - Fundação de Previdência Privada, CNPJ nº 60.977.255/0001-30.</w:t>
      </w:r>
    </w:p>
    <w:p>
      <w:r>
        <w:t>Art. 18 Autorizar o Convênio de Adesão celebrado entre a SANTO ANTONIO ENERGIA S.A., CNPJ nº 09.391.823/0001-60, na condição de patrocinadora do Plano de Contribuição Definida - NCD, CNPB nº 2020.0022-56, e a ELETROBRASPREV - Fundação de Previdência Privada, CNPJ nº 60.977.255/0001-30.</w:t>
      </w:r>
    </w:p>
    <w:p>
      <w:r>
        <w:t>Art. 19 Autorizar o Convênio de Adesão celebrado entre a COMPANHIA HIDRELÉTRICA TELES PIRES S.A., CNPJ nº 12.810.896/0001-53, na condição de patrocinadora do Plano de Contribuição Definida - NCD, CNPB nº 2020.0022-56, e a ELETROBRASPREV - Fundação de Previdência Privada, CNPJ nº 60.977.255/0001-30.</w:t>
      </w:r>
    </w:p>
    <w:p>
      <w:r>
        <w:t>Art. 20 Autorizar o Convênio de Adesão celebrado entre a TRIÂNGULO MINEIRO TRANSMISSORA S.A., CNPJ nº 17.261.505/0001-02, na condição de patrocinadora do Plano de Contribuição Definida - NCD, CNPB nº 2020.0022-56, e a ELETROBRASPREV - Fundação de Previdência Privada, CNPJ nº 60.977.255/0001-30.</w:t>
      </w:r>
    </w:p>
    <w:p>
      <w:r>
        <w:t>Art. 21 Autorizar o Termo de Adesão celebrado pela ELETROBRASPREV - FUNDAÇÃO DE PREVIDÊNCIA PRIVADA, CNPJ nº 60.977.255/0001-30, na condição de patrocinadora do Plano de Benefícios BD - Eletrosul, CNPB nº 1974.0002-65.</w:t>
      </w:r>
    </w:p>
    <w:p>
      <w:r>
        <w:t>Art. 22 Autorizar o Termo de Adesão celebrado pela ELETROBRASPREV - FUNDAÇÃO DE PREVIDÊNCIA PRIVADA, CNPJ nº 60.977.255/0001-30, na condição de patrocinadora do Plano de Benefícios Previdenciários nº 1 CD Eletrosul, CNPB nº 2009.0037-56.</w:t>
      </w:r>
    </w:p>
    <w:p>
      <w:r>
        <w:t>Art. 23 Autorizar o Termo de Adesão celebrado pela ELETROBRASPREV - FUNDAÇÃO DE PREVIDÊNCIA PRIVADA, CNPJ nº 60.977.255/0001-30, na condição de patrocinadora do Plano de Contribuição Definida - NCD, CNPB nº 2020.0022-56.</w:t>
      </w:r>
    </w:p>
    <w:p>
      <w:r>
        <w:t>Art. 24 Autorizar o Termo de Adesão celebrado pela ELETROBRASPREV - FUNDAÇÃO DE PREVIDÊNCIA PRIVADA, CNPJ nº 60.977.255/0001-30, na condição de patrocinadora do Plano Instituído Futurize, CNPB nº 2023.0005-56.</w:t>
      </w:r>
    </w:p>
    <w:p>
      <w:r>
        <w:t>Art. 25 Esta Portaria entra em vigor na data de sua publicação.</w:t>
      </w:r>
    </w:p>
    <w:p>
      <w:r>
        <w:t>Guilherme Capriata Vaccaro Campelo Bezerra</w:t>
      </w:r>
    </w:p>
    <w:p>
      <w:pPr>
        <w:pStyle w:val="Heading2"/>
      </w:pPr>
      <w:r>
        <w:t>Portaria Previc Nº 653, DE 24 DE agosto DE 2026</w:t>
      </w:r>
    </w:p>
    <w:p>
      <w:r>
        <w:t>Categoria: Ministério da Previdência Social/Superintendência Nacional de Previdência Complementar/Diretoria de Licenciamento</w:t>
      </w:r>
    </w:p>
    <w:p>
      <w:r>
        <w:t>Página: 68</w:t>
      </w:r>
    </w:p>
    <w:p/>
    <w:p>
      <w:r>
        <w:t>Portaria Previc Nº 653, DE 24 DE agosto DE 2026</w:t>
      </w:r>
    </w:p>
    <w:p>
      <w:r>
        <w:t>O DIRETOR DE LICENCIAMENTO, no uso das atribuições que lhe confere a alínea "c" do inciso I do art. 16 do Decreto nº 11.241, de 18 de outubro de 2022, e considerando as manifestações técnicas exaradas no Processo nº 44011.013193/2025-71, resolve:</w:t>
      </w:r>
    </w:p>
    <w:p>
      <w:r>
        <w:t>Art. 1º Aprovar as alterações propostas para o estatuto da entidade Acesita Previdência Privada - Aceprev, CNPJ nº 00.529.828/0001-31, nos termos do supracitado processo.</w:t>
      </w:r>
    </w:p>
    <w:p>
      <w:r>
        <w:t>Art. 2º Esta Portaria entra em vigor na data de sua publicação.</w:t>
      </w:r>
    </w:p>
    <w:p>
      <w:r>
        <w:t>Guilherme Capriata Vaccaro Campelo Bezerra</w:t>
      </w:r>
    </w:p>
    <w:p>
      <w:r>
        <w:br w:type="page"/>
      </w:r>
    </w:p>
    <w:p>
      <w:pPr>
        <w:pStyle w:val="Heading1"/>
      </w:pPr>
      <w:r>
        <w:t>2026-08-27</w:t>
      </w:r>
    </w:p>
    <w:p>
      <w:pPr>
        <w:pStyle w:val="Heading2"/>
      </w:pPr>
      <w:r>
        <w:t>INSTRUÇÃO NORMATIVA BCB Nº 771, DE 26 DE AGOSTO DE 2026</w:t>
      </w:r>
    </w:p>
    <w:p>
      <w:pPr>
        <w:pStyle w:val="ListBullet"/>
      </w:pPr>
      <w:r>
        <w:t>Ementa: Estabelece os procedimentos para autorizar a cooperativa central de crédito, a confederação de crédito ou a confederação de serviço a assumir, em caráter temporário, a administração de cooperativa de crédito integrante do mesmo sistema.</w:t>
      </w:r>
    </w:p>
    <w:p>
      <w:r>
        <w:t>Categoria: Banco Central do Brasil/Área de Fiscalização/Departamento de Supervisão de Cooperativas e de Instituições Não-Bancárias</w:t>
      </w:r>
    </w:p>
    <w:p>
      <w:r>
        <w:t>Página: 101</w:t>
      </w:r>
    </w:p>
    <w:p/>
    <w:p>
      <w:r>
        <w:t>INSTRUÇÃO NORMATIVA BCB Nº 771, DE 26 DE AGOSTO DE 2026</w:t>
      </w:r>
    </w:p>
    <w:p>
      <w:r>
        <w:t>Estabelece os procedimentos para autorizar a cooperativa central de crédito, a confederação de crédito ou a confederação de serviço a assumir, em caráter temporário, a administração de cooperativa de crédito integrante do mesmo sistema.</w:t>
      </w:r>
    </w:p>
    <w:p>
      <w:r>
        <w:t>Os Chefes do Departamento de Supervisão de Cooperativas e de Instituições Não Bancárias ‒ Desuc e do Departamento de Organização do Sistema Financeiro ‒ Deorf, no uso das atribuições que lhes confere o art. 23, inciso I, alínea "a", do Regimento Interno do Banco Central do Brasil, anexo à Resolução BCB nº 340, de 21 de setembro de 2023, com base, respectivamente, nos arts. 92, inciso V, alínea "a" e 98, inciso VI, e tendo em vista o disposto na Resolução CMN nº 5.051, de 25 de novembro de 2022, e na Resolução CMN nº 5.061, de 16 de fevereiro de 2023, resolvem:</w:t>
      </w:r>
    </w:p>
    <w:p>
      <w:r>
        <w:t>CAPÍTULO I</w:t>
      </w:r>
    </w:p>
    <w:p>
      <w:r>
        <w:t>DO OBJETO E DO ÂMBITO DE APLICAÇÃO</w:t>
      </w:r>
    </w:p>
    <w:p>
      <w:r>
        <w:t>Art. 1º Esta Instrução Normativa estabelece os procedimentos relativos à solicitação e à concessão de autorização, em caráter temporário, da administração de cooperativa singular ou central de crédito por cooperativa central de crédito, confederação de crédito ou confederação de serviço, em situações que comprometam ou possam comprometer a continuidade da filiada ou que causem ou possam causar perdas aos seus associados, de que tratam o art. 43-A da Resolução CMN nº 5.051, de 25 de novembro de 2022, e o art. 4º-B da Resolução CMN nº 5.061, de 16 de fevereiro de 2023.</w:t>
      </w:r>
    </w:p>
    <w:p>
      <w:r>
        <w:t>§ 1º A autorização de administração temporária de que trata esta Instrução Normativa constitui medida de supervisão, sem prejuízo da apuração de eventuais infrações em processo administrativo sancionador próprio.</w:t>
      </w:r>
    </w:p>
    <w:p>
      <w:r>
        <w:t>§ 2º As cooperativas centrais de crédito, as confederações de crédito e as confederações de serviço somente podem solicitar e exercer a administração temporária de cooperativa de crédito, da qual seja responsável pela supervisão auxiliar, em decorrência das atribuições definidas no Capítulo VII da Resolução CMN nº 5.051, de 25 de novembro de 2022.</w:t>
      </w:r>
    </w:p>
    <w:p>
      <w:r>
        <w:t>CAPÍTULO II</w:t>
      </w:r>
    </w:p>
    <w:p>
      <w:r>
        <w:t>DA INSTRUÇÃO DO PROCESSO</w:t>
      </w:r>
    </w:p>
    <w:p>
      <w:r>
        <w:t>Seção I</w:t>
      </w:r>
    </w:p>
    <w:p>
      <w:r>
        <w:t>Das disposições gerais</w:t>
      </w:r>
    </w:p>
    <w:p>
      <w:r>
        <w:t>Art. 2º A solicitação de autorização de administração temporária referida no art. 1º deve ser dirigida ao Chefe do Departamento de Supervisão de Cooperativas e de Instituições Não Bancárias ‒ Desuc, por meio de ofício assinado pelos representantes legais da entidade solicitante ou seus procuradores constituídos, acompanhada dos documentos e informações previstos no Anexo desta Instrução Normativa.</w:t>
      </w:r>
    </w:p>
    <w:p>
      <w:r>
        <w:t>Parágrafo único. O Banco Central do Brasil pode requisitar informações ou documentos adicionais necessários à instrução da solicitação do regime de administração temporária, fixando prazo para sua apresentação.</w:t>
      </w:r>
    </w:p>
    <w:p>
      <w:r>
        <w:t>Seção II</w:t>
      </w:r>
    </w:p>
    <w:p>
      <w:r>
        <w:t>Do afastamento ou substituição de administradores</w:t>
      </w:r>
    </w:p>
    <w:p>
      <w:r>
        <w:t>Art. 3º Caso a entidade requerente pretenda afastar ou substituir administradores da cooperativa singular ou central de crédito a ser administrada concomitantemente ao início do regime, nos termos do art. 16-A, § 1º, inciso II, da Lei Complementar nº 130, de 17 de abril de 2009, e do art. 43-A, § 4º, da Resolução CMN nº 5.051, de 25 de novembro de 2022, a solicitação deve conter essa informação e indicar os membros de órgãos estatutários a serem afastados ou substituídos.</w:t>
      </w:r>
    </w:p>
    <w:p>
      <w:r>
        <w:t>§ 1º Havendo indicação de administradores para exercer cargos em órgãos estatutários da cooperativa singular ou central de crédito a ser administrada, a solicitação deve ser instruída, quando exigível, com os documentos e as informações previstos na regulamentação específica aplicável à autorização para posse e exercício em cargos em órgãos estatutários.</w:t>
      </w:r>
    </w:p>
    <w:p>
      <w:r>
        <w:t>§ 2º Na hipótese do § 1º:</w:t>
      </w:r>
    </w:p>
    <w:p>
      <w:r>
        <w:t>I - a análise e a decisão relativas à autorização para posse e exercício dos administradores indicados observarão a regulamentação pertinente; e</w:t>
      </w:r>
    </w:p>
    <w:p>
      <w:r>
        <w:t>II - a decisão sobre a autorização para posse e exercício dos administradores indicados somente produzirá efeitos se aprovada a administração temporária.</w:t>
      </w:r>
    </w:p>
    <w:p>
      <w:r>
        <w:t>Seção III</w:t>
      </w:r>
    </w:p>
    <w:p>
      <w:r>
        <w:t>Do modelo de governança do regime de administração temporária</w:t>
      </w:r>
    </w:p>
    <w:p>
      <w:r>
        <w:t>Art. 4º A solicitação deve descrever o modelo de governança a ser adotado durante a administração temporária, com a identificação das pessoas, órgãos ou instâncias da entidade encarregada que exercerão as competências correspondentes.</w:t>
      </w:r>
    </w:p>
    <w:p>
      <w:r>
        <w:t>§ 1º A descrição do modelo de governança de que trata o caput deve abranger, no mínimo:</w:t>
      </w:r>
    </w:p>
    <w:p>
      <w:r>
        <w:t>I - as competências dos órgãos estatutários da cooperativa administrada que serão exercidas pela entidade encarregada da administração temporária;</w:t>
      </w:r>
    </w:p>
    <w:p>
      <w:r>
        <w:t>II - as instâncias responsáveis pela deliberação e pela execução dos atos de gestão;</w:t>
      </w:r>
    </w:p>
    <w:p>
      <w:r>
        <w:t>III - a forma de representação da cooperativa administrada perante terceiros, autoridades administrativas e órgãos judiciais;</w:t>
      </w:r>
    </w:p>
    <w:p>
      <w:r>
        <w:t>IV - os mecanismos de segregação de funções, controle e documentação dos atos praticados; e</w:t>
      </w:r>
    </w:p>
    <w:p>
      <w:r>
        <w:t>V - os procedimentos de prestação de informações ao Banco Central do Brasil.</w:t>
      </w:r>
    </w:p>
    <w:p>
      <w:r>
        <w:t>Seção IV</w:t>
      </w:r>
    </w:p>
    <w:p>
      <w:r>
        <w:t>Da comunicação da decisão</w:t>
      </w:r>
    </w:p>
    <w:p>
      <w:r>
        <w:t>Art. 5º A decisão que autorizar a administração temporária será comunicada pelo Banco Central do Brasil à instituição requerente e à cooperativa singular ou central de crédito a ser administrada.</w:t>
      </w:r>
    </w:p>
    <w:p>
      <w:r>
        <w:t>§ 1º A comunicação à cooperativa singular ou central de crédito a ser administrada será dirigida aos seus membros estatutários, ou a quem tenha poderes de representação perante o Banco Central do Brasil, sem prejuízo da comunicação aos administradores diretamente afetados pela decisão.</w:t>
      </w:r>
    </w:p>
    <w:p>
      <w:r>
        <w:t>§ 2º As comunicações de que trata este artigo serão realizadas pelo meio considerado adequado pelo Banco Central do Brasil, inclusive por meio eletrônico, correspondência, edital ou outro meio apto a dar ciência aos interessados.</w:t>
      </w:r>
    </w:p>
    <w:p>
      <w:r>
        <w:t>§ 3º A comunicação da decisão indicará, quando cabível, o prazo para apresentação de impugnação, a autoridade competente para sua apreciação e a ausência de efeito suspensivo.</w:t>
      </w:r>
    </w:p>
    <w:p>
      <w:r>
        <w:t>Seção V</w:t>
      </w:r>
    </w:p>
    <w:p>
      <w:r>
        <w:t>Do prazo de duração do regime e seu encerramento</w:t>
      </w:r>
    </w:p>
    <w:p>
      <w:r>
        <w:t>Art. 6º O prazo de duração do regime de administração temporária estabelecido na autorização poderá ser prorrogado uma vez, por até igual período, mediante solicitação encaminhada ao Desuc, nos termos do art. 43-A, § 3º, da Resolução CMN nº 5.051, de 25 de novembro de 2022.</w:t>
      </w:r>
    </w:p>
    <w:p>
      <w:r>
        <w:t>Parágrafo único. A solicitação de prorrogação deve ser instruída com:</w:t>
      </w:r>
    </w:p>
    <w:p>
      <w:r>
        <w:t>I - relatório sobre a execução do plano de ação;</w:t>
      </w:r>
    </w:p>
    <w:p>
      <w:r>
        <w:t>II - indicação das medidas já adotadas;</w:t>
      </w:r>
    </w:p>
    <w:p>
      <w:r>
        <w:t>III - indicação das pendências remanescentes; e</w:t>
      </w:r>
    </w:p>
    <w:p>
      <w:r>
        <w:t>IV - justificativa para o prazo adicional requerido.</w:t>
      </w:r>
    </w:p>
    <w:p>
      <w:r>
        <w:t>Art. 7º O encerramento da administração temporária deve ser precedido de manifestação da instituição encarregada ao Desuc, acompanhada de:</w:t>
      </w:r>
    </w:p>
    <w:p>
      <w:r>
        <w:t>I - relatório sobre:</w:t>
      </w:r>
    </w:p>
    <w:p>
      <w:r>
        <w:t>a) os efeitos das medidas adotadas;</w:t>
      </w:r>
    </w:p>
    <w:p>
      <w:r>
        <w:t>b) a situação da cooperativa administrada;</w:t>
      </w:r>
    </w:p>
    <w:p>
      <w:r>
        <w:t>c) as providências pendentes; e</w:t>
      </w:r>
    </w:p>
    <w:p>
      <w:r>
        <w:t>II - plano de transição para a retomada da governança ordinária ou para a adoção de outra solução cabível.</w:t>
      </w:r>
    </w:p>
    <w:p>
      <w:r>
        <w:t>§ 1º A manifestação de que trata o caput deve ser encaminhada com antecedência mínima de sessenta dias do término do prazo fixado para a administração temporária, salvo se prazo diverso for estabelecido na decisão de autorização ou em ato posterior do Banco Central do Brasil.</w:t>
      </w:r>
    </w:p>
    <w:p>
      <w:r>
        <w:t>§ 2º O encerramento da administração temporária dependerá da ciência do Desuc quanto aos efeitos das medidas adotadas e ao plano de transição apresentado, sem prejuízo da observância do prazo de duração fixado no ato de autorização ou em eventual prorrogação.</w:t>
      </w:r>
    </w:p>
    <w:p>
      <w:r>
        <w:t>§ 3º Caso verifique risco de descontinuidade administrativa, insuficiência das medidas adotadas ou pendências relevantes para a retomada da governança ordinária, o Banco Central do Brasil poderá requisitar informações adicionais, determinar providências, apreciar pedido de prorrogação, quando cabível, e nos limites do art. 43-A, § 3º, da Resolução CMN nº 5.051, de 25 de novembro de 2022, ou adotar outras medidas de supervisão previstas na regulamentação vigente.</w:t>
      </w:r>
    </w:p>
    <w:p>
      <w:r>
        <w:t>§ 4º Sem prejuízo do prazo de duração fixado no ato de autorização ou em eventual prorrogação, o Banco Central do Brasil poderá revogar a autorização de administração temporária quando cessarem os motivos que ensejaram a sua concessão ou quando a medida deixar de se mostrar adequada à preservação dos objetivos previstos na regulamentação vigente.</w:t>
      </w:r>
    </w:p>
    <w:p>
      <w:r>
        <w:t>Art. 8º A entidade encarregada da administração temporária deve indicar responsável apto a responder a eventuais questionamentos sobre as informações fornecidas, nos termos do Anexo a esta Instrução Normativa.</w:t>
      </w:r>
    </w:p>
    <w:p>
      <w:r>
        <w:t>Seção VI</w:t>
      </w:r>
    </w:p>
    <w:p>
      <w:r>
        <w:t>Da apresentação de impugnação e do recurso</w:t>
      </w:r>
    </w:p>
    <w:p>
      <w:r>
        <w:t>Art. 9º Da decisão sobre o pedido de autorização da administração temporária, proferida pelo Chefe do Desuc, cabe impugnação, sem efeito suspensivo, no prazo de dez dias.</w:t>
      </w:r>
    </w:p>
    <w:p>
      <w:r>
        <w:t>§ 1º A impugnação poderá ser apresentada pela instituição requerente, pela cooperativa administrada ou por administradores diretamente afetados pela decisão.</w:t>
      </w:r>
    </w:p>
    <w:p>
      <w:r>
        <w:t>§ 2º No caso de deferimento do pedido de autorização da administração temporária, o prazo de que trata o caput será contado, para cada interessado, da respectiva comunicação de que trata o art. 4º.</w:t>
      </w:r>
    </w:p>
    <w:p>
      <w:r>
        <w:t>§ 3º No caso de indeferimento do pedido de autorização da administração temporária, o prazo de que trata o caput será contado a partir da cientificação da instituição requerente.</w:t>
      </w:r>
    </w:p>
    <w:p>
      <w:r>
        <w:t>Art. 10 Da decisão que apreciar a impugnação cabe recurso ao Diretor de Fiscalização, sem efeito suspensivo, no prazo de dez dias, contado da ciência ou divulgação oficial da decisão recorrida.</w:t>
      </w:r>
    </w:p>
    <w:p>
      <w:r>
        <w:t>Seção VII</w:t>
      </w:r>
    </w:p>
    <w:p>
      <w:r>
        <w:t>Das prestações de contas e de informações</w:t>
      </w:r>
    </w:p>
    <w:p>
      <w:r>
        <w:t>Art. 11. A entidade encarregada da administração temporária deve encaminhar ao Desuc cópia da ata da assembleia geral ordinária em que tenha sido apresentada a prestação de contas de seus atos aos associados da cooperativa sob sua administração, nos termos do art. 43-A, § 5º, da Resolução CMN nº 5.051, de 25 de novembro de 2022, e do art. 4º-B, parágrafo único, da Resolução CMN nº 5.061, de 16 de fevereiro de 2023.</w:t>
      </w:r>
    </w:p>
    <w:p>
      <w:r>
        <w:t>Art. 12. Para fins do disposto no art. 43-A, § 2º, inciso III, da Resolução CMN nº 5.051, de 25 de novembro de 2022, os administradores indicados devem prestar informações ao Desuc, na periodicidade prevista no ato que autorizou a administração temporária, sobre:</w:t>
      </w:r>
    </w:p>
    <w:p>
      <w:r>
        <w:t>I - o cumprimento do plano de ação, atestando o atingimento ou não das metas, conforme previsto no cronograma, justificando quando essas não forem atingidas;</w:t>
      </w:r>
    </w:p>
    <w:p>
      <w:r>
        <w:t>II - a ocorrência de fatos relevantes detectados no período e as providências adotadas para o seu tratamento; e</w:t>
      </w:r>
    </w:p>
    <w:p>
      <w:r>
        <w:t>III - os atos societários, administrativos ou judiciais que possam afetar a governança, a representação, a continuidade ou a execução da administração temporária.</w:t>
      </w:r>
    </w:p>
    <w:p>
      <w:r>
        <w:t>Art. 13. A entidade encarregada da administração temporária deve manter documentação individualizada dos atos praticados durante o regime, com identificação dos responsáveis por sua deliberação e execução, de modo a permitir a prestação de contas aos associados da cooperativa administrada e ao Banco Central do Brasil.</w:t>
      </w:r>
    </w:p>
    <w:p>
      <w:r>
        <w:t>Art. 14. A autorização da administração temporária não afasta o exercício das competências de supervisão do Banco Central do Brasil, que poderá requisitar informações, determinar providências e adotar outras medidas cabíveis na forma da regulamentação vigente.</w:t>
      </w:r>
    </w:p>
    <w:p>
      <w:r>
        <w:t>CAPÍTULO III</w:t>
      </w:r>
    </w:p>
    <w:p>
      <w:r>
        <w:t>Disposições Finais</w:t>
      </w:r>
    </w:p>
    <w:p>
      <w:r>
        <w:t>Art. 15. Esta Instrução Normativa entra em vigor na data de sua publicação.</w:t>
      </w:r>
    </w:p>
    <w:p>
      <w:r>
        <w:t>ADALBERTO FELINTO DA CRUZ JUNIOR</w:t>
      </w:r>
    </w:p>
    <w:p>
      <w:r>
        <w:t>Chefe do Desuc</w:t>
      </w:r>
    </w:p>
    <w:p>
      <w:r>
        <w:t>CAROLINA PANCOTTO BOHRER</w:t>
      </w:r>
    </w:p>
    <w:p>
      <w:r>
        <w:t>Chefe do Deorf</w:t>
      </w:r>
    </w:p>
    <w:p>
      <w:r>
        <w:t>Anexo Elementos essenciais à solicitação de autorização para administrar, em caráter temporário, cooperativa de crédito filiada.</w:t>
      </w:r>
    </w:p>
    <w:p>
      <w:r>
        <w:t>1. IDENTIFICAÇÃO</w:t>
      </w:r>
    </w:p>
    <w:p>
      <w:r>
        <w:t>1.1. Cooperativa central ou confederação encarregada da administração temporária: denominação social, CNPJ e endereço; e</w:t>
      </w:r>
    </w:p>
    <w:p>
      <w:r>
        <w:t>1.2. Cooperativa filiada objeto da administração temporária: denominação social, CNPJ e endereço.</w:t>
      </w:r>
    </w:p>
    <w:p>
      <w:r>
        <w:t>2. FORMALIZAÇÃO DO PLEITO</w:t>
      </w:r>
    </w:p>
    <w:p>
      <w:r>
        <w:t>2.1. Os motivos do pedido de administração temporária, com indicação do dispositivo normativo correlato;</w:t>
      </w:r>
    </w:p>
    <w:p>
      <w:r>
        <w:t>2.2. A situação e o prognóstico da cooperativa filiada a respeito da qual está sendo apresentada a solicitação de autorização para o regime de administração temporária;</w:t>
      </w:r>
    </w:p>
    <w:p>
      <w:r>
        <w:t>2.3. Quando os fatos que fundamentam o pedido tiverem origem em período anterior à vigência do art. 43-A da Resolução CMN nº 5.051, de 25 de novembro de 2022, o requerimento deve demonstrar a persistência de seus efeitos e sua aptidão atual para comprometer ou poder comprometer a continuidade da cooperativa filiada ou causar ou poder causar perdas aos associados;</w:t>
      </w:r>
    </w:p>
    <w:p>
      <w:r>
        <w:t>2.4. Quando houver outras medidas de supervisão ou de assistência cooperativa em curso ou anteriormente cogitadas, o requerimento deve informar as razões pelas quais se considera necessária a administração temporária, inclusive em relação à insuficiência, à inadequação ou ao insucesso das medidas já adotadas ou avaliadas.</w:t>
      </w:r>
    </w:p>
    <w:p>
      <w:r>
        <w:t>3. INSTRUÇÃO DO PROCESSO</w:t>
      </w:r>
    </w:p>
    <w:p>
      <w:r>
        <w:t>3.1. Documentos que evidenciem:</w:t>
      </w:r>
    </w:p>
    <w:p>
      <w:r>
        <w:t>3.1.1. A deliberação do órgão competente da cooperativa central de crédito, da confederação de crédito ou da confederação de serviço que autorize a apresentação do pedido de administração temporária, formalizada e assinada na forma do respectivo estatuto social ou das normas internas aplicáveis da entidade requerente;</w:t>
      </w:r>
    </w:p>
    <w:p>
      <w:r>
        <w:t>3.1.2. As provas dos fatos alegados; e</w:t>
      </w:r>
    </w:p>
    <w:p>
      <w:r>
        <w:t>3.1.3. O plano de ação para o saneamento das situações que motivaram o pedido de administração temporária.</w:t>
      </w:r>
    </w:p>
    <w:p>
      <w:r>
        <w:t>3.2. Relato sobre as situações apuradas e as respectivas ações já tomadas pela cooperativa central de crédito ou pela confederação responsável pela supervisão da cooperativa de crédito e dos seus resultados e obstáculos encontrados para sua implementação; e</w:t>
      </w:r>
    </w:p>
    <w:p>
      <w:r>
        <w:t>3.3. Tratamento do da administração temporária e sua previsão em normas internas do respectivo sistema cooperativo.</w:t>
      </w:r>
    </w:p>
    <w:p>
      <w:r>
        <w:t>4. CARACTERÍSTICAS DA ADMINISTRAÇÃO TEMPORÁRIA</w:t>
      </w:r>
    </w:p>
    <w:p>
      <w:r>
        <w:t>4.1. Identificação do responsável por esclarecimentos a respeito das informações fornecidas: nome, telefone e e-mail;</w:t>
      </w:r>
    </w:p>
    <w:p>
      <w:r>
        <w:t>4.2. Data sugerida de início da administração temporária;</w:t>
      </w:r>
    </w:p>
    <w:p>
      <w:r>
        <w:t>4.3. Prazo necessário para saneamento da situação que motivou a solicitação de autorização da administração temporária, não superior a um ano;</w:t>
      </w:r>
    </w:p>
    <w:p>
      <w:r>
        <w:t>4.4. Ocupantes de cargos em órgãos estatutários da cooperativa de crédito filiada que devem ser afastados: nome, cargo e CPF;</w:t>
      </w:r>
    </w:p>
    <w:p>
      <w:r>
        <w:t>4.5. Identificação dos administradores indicados para atuar na administração temporária com nome, CPF, telefone e e-mail, observando o seguinte:</w:t>
      </w:r>
    </w:p>
    <w:p>
      <w:r>
        <w:t>4.5.1. Se o administrador for autorizado a exercer cargo em órgão estatutário de cooperativa de crédito, deve ser informado o cargo, a data da posse e o término do mandato, além da identificação da cooperativa; e</w:t>
      </w:r>
    </w:p>
    <w:p>
      <w:r>
        <w:t>4.5.2. Para fins de autorização para a posse e o exercício de administrador indicado, devem ser encaminhados os documentos e informações pertinentes, nos termos da regulamentação aplicável, a serem submetidos à aprovação deste Banco Central.</w:t>
      </w:r>
    </w:p>
    <w:p>
      <w:r>
        <w:t>4.6. Caso haja proposta de afastamento de membros de órgãos estatutários sem indicação de substitutos para os respectivos cargos, o requerimento deve descrever:</w:t>
      </w:r>
    </w:p>
    <w:p>
      <w:r>
        <w:t>4.6.1. Os órgãos ou instâncias da instituição encarregada que exercerão, durante a administração temporária, as competências correspondentes;</w:t>
      </w:r>
    </w:p>
    <w:p>
      <w:r>
        <w:t>4.6.2. Os fluxos decisórios aplicáveis;</w:t>
      </w:r>
    </w:p>
    <w:p>
      <w:r>
        <w:t>4.6.3. Os responsáveis pela execução dos atos de gestão; e</w:t>
      </w:r>
    </w:p>
    <w:p>
      <w:r>
        <w:t>4.6.4. Os mecanismos de segregação, controle e prestação de informações ao Banco Central do Brasil.</w:t>
      </w:r>
    </w:p>
    <w:p>
      <w:r>
        <w:t>5. DATA E ASSINATURA DOS REQUERENTES (REPRESENTANTES LEGAIS DA ENTIDADE)</w:t>
      </w:r>
    </w:p>
    <w:p>
      <w:r>
        <w:t>5.1. O requerimento deve ser datado e assinado pelos representantes legais da entidade solicitante ou por procuradores constituídos, nos termos do art. 2º desta Instrução Normativa.</w:t>
      </w:r>
    </w:p>
    <w:p>
      <w:pPr>
        <w:pStyle w:val="Heading2"/>
      </w:pPr>
      <w:r>
        <w:t>PORTARIA GABPR/ANPD Nº 581, DE 26 DE AGOSTO DE 2026</w:t>
      </w:r>
    </w:p>
    <w:p>
      <w:pPr>
        <w:pStyle w:val="ListBullet"/>
      </w:pPr>
      <w:r>
        <w:t>Ementa: Estabelece critérios e procedimentos para a Avaliação de Desempenho Individual dos profissionais contratados por tempo determinado, nos termos da Lei nº 8.745, de 9 de dezembro de 1993, no âmbito da Agência Nacional de Proteção de Dados - ANPD.</w:t>
      </w:r>
    </w:p>
    <w:p>
      <w:r>
        <w:t>Categoria: Ministério da Justiça e Segurança Pública/Agência Nacional de Proteção de Dados</w:t>
      </w:r>
    </w:p>
    <w:p>
      <w:r>
        <w:t>Página: 47</w:t>
      </w:r>
    </w:p>
    <w:p/>
    <w:p>
      <w:r>
        <w:t>PORTARIA GABPR/ANPD Nº 581, DE 26 DE AGOSTO DE 2026</w:t>
      </w:r>
    </w:p>
    <w:p>
      <w:r>
        <w:t>Estabelece critérios e procedimentos para a Avaliação de Desempenho Individual dos profissionais contratados por tempo determinado, nos termos da Lei nº 8.745, de 9 de dezembro de 1993, no âmbito da Agência Nacional de Proteção de Dados - ANPD.</w:t>
      </w:r>
    </w:p>
    <w:p>
      <w:r>
        <w:t>O DIRETOR-PRESIDENTE DA AGÊNCIA NACIONAL DE PROTEÇÃO DE DADOS - ANPD, no uso das atribuições que lhe conferem a legislação e o Regimento Interno da Agência, e tendo em vista o disposto na Lei nº 8.745, de 9 de dezembro de 1993, na Portaria Conjunta MGI/MJSP nº 99, de 10 de outubro de 2024, e no Processo nº 00261.004803/2025-29, resolve:</w:t>
      </w:r>
    </w:p>
    <w:p>
      <w:r>
        <w:t>CAPÍTULO I</w:t>
      </w:r>
    </w:p>
    <w:p>
      <w:r>
        <w:t>DAS DISPOSIÇÕES GERAIS</w:t>
      </w:r>
    </w:p>
    <w:p>
      <w:r>
        <w:t>Art. 1º Estabelecer os critérios, os procedimentos, os prazos e as responsabilidades relativos à Avaliação de Desempenho Individual dos profissionais contratados por tempo determinado no âmbito da Agência Nacional de Proteção de Dados - ANPD, com fundamento na Lei nº 8.745, de 9 de dezembro de 1993.</w:t>
      </w:r>
    </w:p>
    <w:p>
      <w:r>
        <w:t>Parágrafo único. A Avaliação de Desempenho Individual será realizada anualmente durante toda a vigência do contrato e constituirá requisito para subsidiar a decisão administrativa quanto à sua eventual prorrogação, observados, ainda, a necessidade do serviço, a disponibilidade de recursos orçamentários e os demais requisitos previstos no instrumento contratual e na legislação aplicável.</w:t>
      </w:r>
    </w:p>
    <w:p>
      <w:r>
        <w:t>Art. 2º Para fins de aplicação desta Portaria, ficam definidos os seguintes termos:</w:t>
      </w:r>
    </w:p>
    <w:p>
      <w:r>
        <w:t>I - Avaliação de Desempenho Individual: processo sistemático de acompanhamento e aferição do desempenho profissional do contratado durante determinado período, com base em critérios previamente estabelecidos;</w:t>
      </w:r>
    </w:p>
    <w:p>
      <w:r>
        <w:t>II - Avaliado: profissional contratado por tempo determinado submetido à Avaliação de Desempenho Individual;</w:t>
      </w:r>
    </w:p>
    <w:p>
      <w:r>
        <w:t>III - Avaliador: chefia imediata responsável pela realização da Avaliação de Desempenho Individual, na forma desta Portaria;</w:t>
      </w:r>
    </w:p>
    <w:p>
      <w:r>
        <w:t>IV - Ciclo avaliativo: período de 12 (doze) meses considerado para fins de acompanhamento e aferição do desempenho do contratado, correspondente, em regra, ao período anual de vigência contratual;</w:t>
      </w:r>
    </w:p>
    <w:p>
      <w:r>
        <w:t>V - Período avaliativo: intervalo de efetivo desempenho das atividades considerado para atribuição das notas do respectivo ciclo;</w:t>
      </w:r>
    </w:p>
    <w:p>
      <w:r>
        <w:t>VI - Fator avaliativo: aspecto do desempenho profissional objeto de aferição, conforme os critérios previstos nesta Portaria;</w:t>
      </w:r>
    </w:p>
    <w:p>
      <w:r>
        <w:t>VII - Nota final: média aritmética simples das notas atribuídas aos cinco fatores avaliativos;</w:t>
      </w:r>
    </w:p>
    <w:p>
      <w:r>
        <w:t>VIII - Pedido de reconsideração: requerimento apresentado pelo avaliado à chefia responsável pela avaliação, destinado à revisão das notas ou das justificativas da avaliação;</w:t>
      </w:r>
    </w:p>
    <w:p>
      <w:r>
        <w:t>IX - Recurso: instrumento por meio do qual o avaliado poderá requerer a revisão da decisão proferida no pedido de reconsideração pela chefia da unidade imediatamente superior; e</w:t>
      </w:r>
    </w:p>
    <w:p>
      <w:r>
        <w:t>X - PGD: Programa de Gestão e Desempenho.</w:t>
      </w:r>
    </w:p>
    <w:p>
      <w:r>
        <w:t>CAPÍTULO II</w:t>
      </w:r>
    </w:p>
    <w:p>
      <w:r>
        <w:t>DO CICLO AVALIATIVO</w:t>
      </w:r>
    </w:p>
    <w:p>
      <w:r>
        <w:t>Art. 3º O ciclo de Avaliação de Desempenho Individual terá duração de 12 (doze) meses, contado da data de início da vigência do contrato.</w:t>
      </w:r>
    </w:p>
    <w:p>
      <w:r>
        <w:t>§ 1º Cada período anual de vigência contratual corresponderá a um ciclo avaliativo.</w:t>
      </w:r>
    </w:p>
    <w:p>
      <w:r>
        <w:t>§ 2º O acompanhamento do desempenho ocorrerá durante todo o ciclo avaliativo.</w:t>
      </w:r>
    </w:p>
    <w:p>
      <w:r>
        <w:t>§ 3º A formalização da avaliação será iniciada 60 dias corridos antes do final do respectivo ciclo, de modo a possibilitar a conclusão da avaliação e, quando houver, do pedido de reconsideração e do recurso antes da decisão administrativa acerca da prorrogação contratual.</w:t>
      </w:r>
    </w:p>
    <w:p>
      <w:r>
        <w:t>§ 4º A avaliação formalizada antes do último dia do ciclo considerará o desempenho observado desde o início do período avaliativo até a data de sua realização, sem prejuízo da consideração de fato superveniente relevante ocorrido até o encerramento do ciclo.</w:t>
      </w:r>
    </w:p>
    <w:p>
      <w:r>
        <w:t>§ 5º Coordenação-Geral de Gestão de Pessoas/SGI encaminhará orientações gerais necessárias à realização das avaliações, em cada ciclo, observados os prazos previstos nesta Portaria.</w:t>
      </w:r>
    </w:p>
    <w:p>
      <w:r>
        <w:t>Art. 4º Nas hipóteses de extinção antecipada do contrato, não será exigida a conclusão do ciclo de avaliação.</w:t>
      </w:r>
    </w:p>
    <w:p>
      <w:r>
        <w:t>Parágrafo único. No caso de contrato firmado por prazo inferior a 12 meses, que não permite renovação em virtude do prazo máximo de 5 anos de contrato, não haverá avaliação.</w:t>
      </w:r>
    </w:p>
    <w:p>
      <w:r>
        <w:t>CAPÍTULO III</w:t>
      </w:r>
    </w:p>
    <w:p>
      <w:r>
        <w:t>DO AVALIADOR</w:t>
      </w:r>
    </w:p>
    <w:p>
      <w:r>
        <w:t>Art. 5º A Avaliação de Desempenho Individual será realizada pela chefia sob cuja supervisão o avaliado tenha permanecido pelo maior período durante o respectivo ciclo avaliativo.</w:t>
      </w:r>
    </w:p>
    <w:p>
      <w:r>
        <w:t>§ 1º Para fins do disposto no caput, será considerado o período de efetivo exercício do contratado sob a supervisão de cada chefia.</w:t>
      </w:r>
    </w:p>
    <w:p>
      <w:r>
        <w:t>§ 2º Na hipótese de o avaliado ter permanecido por períodos idênticos sob a supervisão de mais de uma chefia, a avaliação será realizada pela chefia mais recente.</w:t>
      </w:r>
    </w:p>
    <w:p>
      <w:r>
        <w:t>§ 3º A chefia responsável pela avaliação poderá solicitar subsídios às demais chefias às quais o contratado tenha estado vinculado durante o ciclo, especialmente quando houver alteração de unidade ou de chefia.</w:t>
      </w:r>
    </w:p>
    <w:p>
      <w:r>
        <w:t>§ 4º Na hipótese de afastamento, impedimento, vacância ou outra impossibilidade devidamente justificada da chefia responsável, a avaliação será realizada por seu substituto formal ou, na impossibilidade deste, pela chefia imediatamente superior.</w:t>
      </w:r>
    </w:p>
    <w:p>
      <w:r>
        <w:t>CAPÍTULO IV</w:t>
      </w:r>
    </w:p>
    <w:p>
      <w:r>
        <w:t>DOS FATORES DE AVALIAÇÃO</w:t>
      </w:r>
    </w:p>
    <w:p>
      <w:r>
        <w:t>Art. 6º A Avaliação de Desempenho Individual compreenderá os seguintes fatores:</w:t>
      </w:r>
    </w:p>
    <w:p>
      <w:r>
        <w:t>I - Produtividade: capacidade de aplicar conhecimentos, habilidades e métodos necessários para executar as atividades com qualidade, precisão e segurança, cumprindo prazos, otimizando recursos e alcançando os resultados pactuados, com atuação orientada a soluções e à melhoria contínua;</w:t>
      </w:r>
    </w:p>
    <w:p>
      <w:r>
        <w:t>II - Responsabilidade: compromisso com as metas, objetivos e obrigações funcionais, com dedicação, zelo, cumprimento das entregas assumidas, preservação do patrimônio público e alinhamento às diretrizes institucionais;</w:t>
      </w:r>
    </w:p>
    <w:p>
      <w:r>
        <w:t>III - Iniciativa: capacidade de atuar de forma proativa e colaborativa, demonstrando abertura para aprendizagem, receptividade a orientações e feedbacks, compartilhamento de informações e busca contínua pelo desenvolvimento profissional;</w:t>
      </w:r>
    </w:p>
    <w:p>
      <w:r>
        <w:t>IV - Disciplina: atuação ética, respeitosa e adequada ao ambiente de trabalho, com observância das normas institucionais, regulamentos, procedimentos da unidade e princípios da Administração Pública; e</w:t>
      </w:r>
    </w:p>
    <w:p>
      <w:r>
        <w:t>V - Assiduidade: regularidade e pontualidade no desempenho das atividades, consideradas as especificidades do regime de jornada adotado, inclusive o controle de frequência ou a participação no Programa de Gestão e Desempenho - PGD.</w:t>
      </w:r>
    </w:p>
    <w:p>
      <w:r>
        <w:t>§ 1º Na avaliação do fator Assiduidade, não poderão ser consideradas negativamente ausências legais, afastamentos ou licenças regularmente autorizados ou previstos na legislação.</w:t>
      </w:r>
    </w:p>
    <w:p>
      <w:r>
        <w:t>§ 2º Para o contratado participante do PGD, a avaliação da assiduidade deverá considerar as características próprias dessa modalidade, especialmente o cumprimento dos compromissos, disponibilidade, comunicações e demais obrigações aplicáveis, vedada a utilização exclusiva de critérios próprios de controle de frequência quando incompatíveis com o regime de execução.</w:t>
      </w:r>
    </w:p>
    <w:p>
      <w:r>
        <w:t>CAPÍTULO V</w:t>
      </w:r>
    </w:p>
    <w:p>
      <w:r>
        <w:t>DA PONTUAÇÃO E DO RESULTADO</w:t>
      </w:r>
    </w:p>
    <w:p>
      <w:r>
        <w:t>Art. 7º Para cada fator avaliativo será atribuída nota inteira de 0 (zero) a 10 (dez).</w:t>
      </w:r>
    </w:p>
    <w:p>
      <w:r>
        <w:t>§ 1º A atribuição das notas observará os seguintes referenciais:</w:t>
      </w:r>
    </w:p>
    <w:p>
      <w:r>
        <w:t>I - 0 (zero) a 4 (quatro): desempenho muito abaixo do esperado, com não atendimento dos requisitos mínimos estabelecidos;</w:t>
      </w:r>
    </w:p>
    <w:p>
      <w:r>
        <w:t>II - 5 (cinco) a 6 (seis): desempenho abaixo do esperado, indicando necessidade de melhoria significativa;</w:t>
      </w:r>
    </w:p>
    <w:p>
      <w:r>
        <w:t>III - 7 (sete) a 8 (oito): desempenho compatível com o esperado, com atendimento satisfatório dos requisitos estabelecidos;</w:t>
      </w:r>
    </w:p>
    <w:p>
      <w:r>
        <w:t>IV - 9 (nove): desempenho acima do esperado, com superação dos requisitos estabelecidos; e</w:t>
      </w:r>
    </w:p>
    <w:p>
      <w:r>
        <w:t>V - 10 (dez): desempenho excepcional, muito acima do esperado e de referência no fator avaliado.</w:t>
      </w:r>
    </w:p>
    <w:p>
      <w:r>
        <w:t>§ 2º A atribuição de nota inferior a 7 (sete) em qualquer fator deverá ser acompanhada de justificativa específica, objetiva e relacionada ao desempenho observado durante o período avaliativo.</w:t>
      </w:r>
    </w:p>
    <w:p>
      <w:r>
        <w:t>§ 3º A justificativa de que trata o § 2º deverá indicar, sempre que possível, fatos, comportamentos, resultados ou situações concretas que fundamentem a nota atribuída, vedadas justificativas genéricas ou desvinculadas do fator avaliado.</w:t>
      </w:r>
    </w:p>
    <w:p>
      <w:r>
        <w:t>§ 4º As avaliações deverão observar critérios de razoabilidade, proporcionalidade, impessoalidade e transparência.</w:t>
      </w:r>
    </w:p>
    <w:p>
      <w:r>
        <w:t>Art. 8º A nota final corresponderá à média aritmética simples das notas atribuídas aos 5 (cinco) fatores avaliativos, obtida pela soma das notas dividida por cinco.</w:t>
      </w:r>
    </w:p>
    <w:p>
      <w:r>
        <w:t>§ 1º A nota final será registrada com uma casa decimal.</w:t>
      </w:r>
    </w:p>
    <w:p>
      <w:r>
        <w:t>§ 2º Para fins de classificação, serão adotados os seguintes conceitos:</w:t>
      </w:r>
    </w:p>
    <w:p>
      <w:r>
        <w:t>I - Excepcional: nota final igual a 10,0;</w:t>
      </w:r>
    </w:p>
    <w:p>
      <w:r>
        <w:t>II - Alto Desempenho: nota final superior a 8,0 e inferior a 10,0;</w:t>
      </w:r>
    </w:p>
    <w:p>
      <w:r>
        <w:t>III - Adequado: nota final de 7,0 a 8,0;</w:t>
      </w:r>
    </w:p>
    <w:p>
      <w:r>
        <w:t>IV - Inadequado: nota final superior a 4,0 e inferior a 7,0; e</w:t>
      </w:r>
    </w:p>
    <w:p>
      <w:r>
        <w:t>V - Insuficiente: nota final de 0 a 4,0.</w:t>
      </w:r>
    </w:p>
    <w:p>
      <w:r>
        <w:t>§ 3º Serão considerados satisfatórios, para fins desta Portaria, os conceitos Excepcional, Alto Desempenho e Adequado.</w:t>
      </w:r>
    </w:p>
    <w:p>
      <w:r>
        <w:t>§ 4º Serão considerados insatisfatórios os conceitos Inadequado e Insuficiente.</w:t>
      </w:r>
    </w:p>
    <w:p>
      <w:r>
        <w:t>Art. 9º Será exigida nota final mínima de 7,0 (sete), equivalente a 70% (setenta por cento), para fins de prorrogação contratual.</w:t>
      </w:r>
    </w:p>
    <w:p>
      <w:r>
        <w:t>§ 1º O atingimento da nota mínima constitui requisito necessário, mas não gera direito subjetivo à prorrogação do contrato.</w:t>
      </w:r>
    </w:p>
    <w:p>
      <w:r>
        <w:t>§ 2º A prorrogação observará, ainda, a necessidade do serviço e a disponibilidade de recursos orçamentários.</w:t>
      </w:r>
    </w:p>
    <w:p>
      <w:r>
        <w:t>§ 3º O resultado inferior a 7,0 fundamentará a não prorrogação do contrato e a adoção das demais providências previstas no instrumento contratual e na legislação aplicável.</w:t>
      </w:r>
    </w:p>
    <w:p>
      <w:r>
        <w:t>CAPÍTULO VI</w:t>
      </w:r>
    </w:p>
    <w:p>
      <w:r>
        <w:t>DO PROCEDIMENTO DE AVALIAÇÃO</w:t>
      </w:r>
    </w:p>
    <w:p>
      <w:r>
        <w:t>Art. 10. A Coordenação-Geral de Gestão de Pessoas/SGI comunicará o início do ciclo avaliativo dos servidores temporários e disponibilizará cronograma contemplando os prazos informados neste normativo, bem como as datas dos contratos dos servidores por unidade.</w:t>
      </w:r>
    </w:p>
    <w:p>
      <w:r>
        <w:t>Art. 11. Cada unidade organizacional deverá monitorar o prazo para a realização das avaliações dos servidores, observadas as diferentes datas de contratação.</w:t>
      </w:r>
    </w:p>
    <w:p>
      <w:r>
        <w:t>Art. 12. A Avaliação de Desempenho Individual será formalizada no Formulário de Avaliação de Desempenho Individual, constante do Anexo I desta Portaria, em processo eletrônico no SEI.</w:t>
      </w:r>
    </w:p>
    <w:p>
      <w:r>
        <w:t>Art. 13. O avaliador deverá preencher integralmente o formulário, devendo:</w:t>
      </w:r>
    </w:p>
    <w:p>
      <w:r>
        <w:t>I - atribuir nota a cada fator avaliativo;</w:t>
      </w:r>
    </w:p>
    <w:p>
      <w:r>
        <w:t>II - apresentar justificativa específica nas hipóteses previstas nesta Portaria;</w:t>
      </w:r>
    </w:p>
    <w:p>
      <w:r>
        <w:t>III - assinar eletronicamente o Formulário de Avaliação de Desempenho Individual no Sistema Eletrônico de Informações - SEI;</w:t>
      </w:r>
    </w:p>
    <w:p>
      <w:r>
        <w:t>IV - dar ciência do resultado final ao avaliado; e</w:t>
      </w:r>
    </w:p>
    <w:p>
      <w:r>
        <w:t>V - encaminhar a avaliação à Divisão de Gestão de Desempenho de Pessoas - DIGED, para controle e providências subsequentes.</w:t>
      </w:r>
    </w:p>
    <w:p>
      <w:r>
        <w:t>§ 1º Após a assinatura eletrônica do avaliado no formulário dando ciência no resultado, este terá 2 (dois) dias úteis para o pedido de reconsideração.</w:t>
      </w:r>
    </w:p>
    <w:p>
      <w:r>
        <w:t>§ 2º A ausência de concordância não dispensa a ciência do resultado nem impede o prosseguimento do procedimento.</w:t>
      </w:r>
    </w:p>
    <w:p>
      <w:r>
        <w:t>§ 3º A recusa do avaliado em assinar o formulário deverá ser formalizada por meio de documento assinado pelo avaliador e por uma testemunha da unidade e não impedirá o prosseguimento da avaliação.</w:t>
      </w:r>
    </w:p>
    <w:p>
      <w:r>
        <w:t>§ 4º A data da ciência do avaliado ou da formalização da recusa será considerada para a contagem do prazo para apresentação do pedido de reconsideração.</w:t>
      </w:r>
    </w:p>
    <w:p>
      <w:r>
        <w:t>CAPÍTULO VII</w:t>
      </w:r>
    </w:p>
    <w:p>
      <w:r>
        <w:t>DO PEDIDO DE RECONSIDERAÇÃO</w:t>
      </w:r>
    </w:p>
    <w:p>
      <w:r>
        <w:t>Art. 14. O avaliado poderá apresentar pedido de reconsideração, devidamente fundamentado, no prazo de 2 (dois) dias úteis, contado da ciência do resultado da avaliação.</w:t>
      </w:r>
    </w:p>
    <w:p>
      <w:r>
        <w:t>§ 1º O pedido de reconsideração será dirigido ao avaliador responsável pela atribuição das notas questionadas.</w:t>
      </w:r>
    </w:p>
    <w:p>
      <w:r>
        <w:t>§ 2º O pedido deverá indicar, de forma objetiva:</w:t>
      </w:r>
    </w:p>
    <w:p>
      <w:r>
        <w:t>I - o fator ou os fatores avaliativos contestados;</w:t>
      </w:r>
    </w:p>
    <w:p>
      <w:r>
        <w:t>II - a nota cuja revisão é pretendida;</w:t>
      </w:r>
    </w:p>
    <w:p>
      <w:r>
        <w:t>III - os fundamentos da discordância; e</w:t>
      </w:r>
    </w:p>
    <w:p>
      <w:r>
        <w:t>IV - os documentos ou elementos que o avaliado considere pertinentes, quando houver.</w:t>
      </w:r>
    </w:p>
    <w:p>
      <w:r>
        <w:t>§ 3º O pedido será apresentado no mesmo processo SEI em que constar a avaliação.</w:t>
      </w:r>
    </w:p>
    <w:p>
      <w:r>
        <w:t>§ 4º A ausência de pedido de reconsideração no prazo estabelecido tornará definitivo o resultado da avaliação, ressalvada a correção de erro material.</w:t>
      </w:r>
    </w:p>
    <w:p>
      <w:r>
        <w:t>Art. 15. O avaliador deverá analisar e decidir o pedido de reconsideração no prazo de 5 (cinco) dias úteis, contado de seu recebimento.</w:t>
      </w:r>
    </w:p>
    <w:p>
      <w:r>
        <w:t>§ 1º A decisão deverá ser expressamente motivada.</w:t>
      </w:r>
    </w:p>
    <w:p>
      <w:r>
        <w:t>§ 2º O avaliador poderá:</w:t>
      </w:r>
    </w:p>
    <w:p>
      <w:r>
        <w:t>I - manter integralmente a avaliação;</w:t>
      </w:r>
    </w:p>
    <w:p>
      <w:r>
        <w:t>II - alterar uma ou mais notas; ou</w:t>
      </w:r>
    </w:p>
    <w:p>
      <w:r>
        <w:t>III - complementar ou retificar a fundamentação, quando cabível, sem prejuízo da revisão da respectiva nota.</w:t>
      </w:r>
    </w:p>
    <w:p>
      <w:r>
        <w:t>§ 3º Havendo alteração das notas, deverá ser recalculada a nota final e, se for o caso, alterado o conceito final.</w:t>
      </w:r>
    </w:p>
    <w:p>
      <w:r>
        <w:t>§ 4º O avaliado será cientificado da decisão no processo eletrônico.</w:t>
      </w:r>
    </w:p>
    <w:p>
      <w:r>
        <w:t>CAPÍTULO VIII</w:t>
      </w:r>
    </w:p>
    <w:p>
      <w:r>
        <w:t>DO RECURSO</w:t>
      </w:r>
    </w:p>
    <w:p>
      <w:r>
        <w:t>Art. 16. Da decisão que julgar o pedido de reconsideração caberá recurso, no prazo de 5 (cinco) dias úteis, contado da ciência do avaliado.</w:t>
      </w:r>
    </w:p>
    <w:p>
      <w:r>
        <w:t>§ 1º O recurso será dirigido à chefia da unidade imediatamente superior àquela em que foi realizada a avaliação.</w:t>
      </w:r>
    </w:p>
    <w:p>
      <w:r>
        <w:t>§ 2º O recurso deverá ser apresentado no mesmo processo SEI e conter os fundamentos pelos quais o avaliado pretende a revisão da decisão.</w:t>
      </w:r>
    </w:p>
    <w:p>
      <w:r>
        <w:t>Art. 17. A chefia da unidade imediatamente superior decidirá o recurso no prazo de 5 (cinco) dias úteis, contado do recebimento dos autos.</w:t>
      </w:r>
    </w:p>
    <w:p>
      <w:r>
        <w:t>§ 1º Para subsidiar sua decisão, a autoridade responsável poderá solicitar esclarecimentos ao avaliador, ao avaliado ou a outras chefias que tenham acompanhado o desempenho do contratado durante o ciclo.</w:t>
      </w:r>
    </w:p>
    <w:p>
      <w:r>
        <w:t>§ 2º A decisão será fundamentada e poderá:</w:t>
      </w:r>
    </w:p>
    <w:p>
      <w:r>
        <w:t>I - manter o resultado;</w:t>
      </w:r>
    </w:p>
    <w:p>
      <w:r>
        <w:t>II - alterar a nota de um ou mais fatores; ou</w:t>
      </w:r>
    </w:p>
    <w:p>
      <w:r>
        <w:t>III - determinar a correção de vício formal que possa ter influenciado o resultado da avaliação.</w:t>
      </w:r>
    </w:p>
    <w:p>
      <w:r>
        <w:t>§ 3º Havendo alteração de nota, a nota final e o conceito deverão ser recalculados.</w:t>
      </w:r>
    </w:p>
    <w:p>
      <w:r>
        <w:t>§ 4º A decisão proferida na forma deste artigo encerra a instância administrativa específica prevista nesta Portaria, sem prejuízo das garantias previstas na legislação aplicável.</w:t>
      </w:r>
    </w:p>
    <w:p>
      <w:r>
        <w:t>§ 5º O resultado da avaliação somente será considerado definitivo após:</w:t>
      </w:r>
    </w:p>
    <w:p>
      <w:r>
        <w:t>I - o transcurso do prazo para pedido de reconsideração sem manifestação do avaliado;</w:t>
      </w:r>
    </w:p>
    <w:p>
      <w:r>
        <w:t>II - a ciência da decisão do pedido de reconsideração, quando não houver recurso no prazo estabelecido;</w:t>
      </w:r>
    </w:p>
    <w:p>
      <w:r>
        <w:t>III - a ciência da decisão do recurso; ou</w:t>
      </w:r>
    </w:p>
    <w:p>
      <w:r>
        <w:t>IV - a formalização da recusa da ciência do avaliado por meio de documento assinado pelo avaliador e por uma testemunha da unidade, se houver.</w:t>
      </w:r>
    </w:p>
    <w:p>
      <w:r>
        <w:t>CAPÍTULO IX</w:t>
      </w:r>
    </w:p>
    <w:p>
      <w:r>
        <w:t>DAS SITUAÇÕES ESPECIAIS</w:t>
      </w:r>
    </w:p>
    <w:p>
      <w:r>
        <w:t>Art. 18. As férias, licenças, afastamentos legais, e demais ausências autorizadas serão considerados para fins de delimitação do período de efetivo desempenho, sem que sua ocorrência, por si só, implique redução da nota atribuída ao contratado.</w:t>
      </w:r>
    </w:p>
    <w:p>
      <w:r>
        <w:t>Art. 19. Na hipótese de alteração da unidade de exercício durante o ciclo avaliativo, aplicar-se-á a regra prevista no art. 5º, cabendo à chefia responsável pela avaliação considerar, sempre que necessário, informações prestadas pelas chefias anteriores.</w:t>
      </w:r>
    </w:p>
    <w:p>
      <w:r>
        <w:t>Art. 20. A mudança de chefia durante o ciclo avaliativo não implicará início de novo ciclo.</w:t>
      </w:r>
    </w:p>
    <w:p>
      <w:r>
        <w:t>Art. 21. A alteração das atribuições, da unidade de exercício, da modalidade de trabalho ou de outras condições funcionais relevantes deverá ser considerada na avaliação, de modo que o desempenho do contratado seja aferido com base nas condições efetivamente verificadas durante o período correspondente.</w:t>
      </w:r>
    </w:p>
    <w:p>
      <w:r>
        <w:t>Art. 22. Na hipótese de ocorrência de situação excepcional que impossibilite a aplicação integral das regras desta Portaria, a Coordenação de Gestão de Pessoas submeterá o caso à Superintendência de Gestão Interna - SGI para decisão, observados os princípios da razoabilidade, proporcionalidade, impessoalidade, contraditório e segurança jurídica.</w:t>
      </w:r>
    </w:p>
    <w:p>
      <w:r>
        <w:t>CAPÍTULO X</w:t>
      </w:r>
    </w:p>
    <w:p>
      <w:r>
        <w:t>DO RESULTADO E DA PRORROGAÇÃO CONTRATUAL</w:t>
      </w:r>
    </w:p>
    <w:p>
      <w:r>
        <w:t>Art. 23. Concluída definitivamente a avaliação, a DIGED/CGGP/SGI registrará o resultado e adotará as providências necessárias ao encaminhamento do processo, em caso de solicitação de prorrogação do contrato pelo gestor da unidade.</w:t>
      </w:r>
    </w:p>
    <w:p>
      <w:r>
        <w:t>Art. 24. A obtenção de nota inferior a 7,0 caracteriza desempenho insatisfatório para fins desta Portaria e fundamentará a não prorrogação contratual, observados o instrumento contratual, a legislação aplicável e a decisão administrativa devidamente motivada.</w:t>
      </w:r>
    </w:p>
    <w:p>
      <w:r>
        <w:t>Parágrafo único. Eventual extinção do contrato em decorrência de avaliação de desempenho deverá observar as hipóteses, os requisitos e os procedimentos previstos na legislação e no instrumento contratual.</w:t>
      </w:r>
    </w:p>
    <w:p>
      <w:r>
        <w:t>CAPÍTULO XI</w:t>
      </w:r>
    </w:p>
    <w:p>
      <w:r>
        <w:t>DAS COMPETÊNCIAS</w:t>
      </w:r>
    </w:p>
    <w:p>
      <w:r>
        <w:t>Art. 25. Compete ao avaliador:</w:t>
      </w:r>
    </w:p>
    <w:p>
      <w:r>
        <w:t>I - monitorar o prazo para a realização das avaliações dos servidores, observadas as diferentes datas de contratação;</w:t>
      </w:r>
    </w:p>
    <w:p>
      <w:r>
        <w:t>II - acompanhar o desempenho do contratado ao longo do ciclo avaliativo, fornecendo informações sobre o seu desempenho visando o aprimoramento do servidor;</w:t>
      </w:r>
    </w:p>
    <w:p>
      <w:r>
        <w:t>III - realizar a avaliação de forma objetiva, imparcial e fundamentada;</w:t>
      </w:r>
    </w:p>
    <w:p>
      <w:r>
        <w:t>IV - observar o prazo de 10 (dez) dias para realizar a avaliação, em conformidade com o cronograma de avaliações e com a data dos contratos dos servidores;</w:t>
      </w:r>
    </w:p>
    <w:p>
      <w:r>
        <w:t>V - considerar as atribuições efetivamente desempenhadas pelo contratado, as condições de trabalho e as especificidades do regime de execução aplicável;</w:t>
      </w:r>
    </w:p>
    <w:p>
      <w:r>
        <w:t>VI - atribuir nota a cada fator avaliativo;</w:t>
      </w:r>
    </w:p>
    <w:p>
      <w:r>
        <w:t>VII - apresentar justificativa específica nas hipóteses previstas nesta Portaria;</w:t>
      </w:r>
    </w:p>
    <w:p>
      <w:r>
        <w:t>VIII - assinar eletronicamente o Formulário de Avaliação de Desempenho Individual no Sistema Eletrônico de Informações - SEI;</w:t>
      </w:r>
    </w:p>
    <w:p>
      <w:r>
        <w:t>IX - dar ciência do resultado final ao avaliado;</w:t>
      </w:r>
    </w:p>
    <w:p>
      <w:r>
        <w:t>X - analisar e decidir eventual pedido de reconsideração no prazo estabelecido nesta Portaria;</w:t>
      </w:r>
    </w:p>
    <w:p>
      <w:r>
        <w:t>XI - prestar os esclarecimentos solicitados pela DIGED/CGGP/SGI ou pela autoridade responsável pela análise de eventual recurso; e</w:t>
      </w:r>
    </w:p>
    <w:p>
      <w:r>
        <w:t>XII - devolver a avaliação, após a sua realização.</w:t>
      </w:r>
    </w:p>
    <w:p>
      <w:r>
        <w:t>Art. 26. Compete à chefia da unidade imediatamente superior:</w:t>
      </w:r>
    </w:p>
    <w:p>
      <w:r>
        <w:t>I - Analisar e decidir sobre o recurso apresentado pelo servidor.</w:t>
      </w:r>
    </w:p>
    <w:p>
      <w:r>
        <w:t>Art. 27. Compete ao responsável pela Unidade organizacional:</w:t>
      </w:r>
    </w:p>
    <w:p>
      <w:r>
        <w:t>I - Garantir a realização da avaliação de desempenho dos servidores em exercício na sua unidade; e</w:t>
      </w:r>
    </w:p>
    <w:p>
      <w:r>
        <w:t>II - Definir pela renovação ou encerramento do contrato do servidor.</w:t>
      </w:r>
    </w:p>
    <w:p>
      <w:r>
        <w:t>Art. 28. Compete à Divisão de Gestão de Desempenho de Pessoas - DIGED:</w:t>
      </w:r>
    </w:p>
    <w:p>
      <w:r>
        <w:t>I - Consolidar as informações necessárias ao regular andamento do procedimento de avaliação de desempenho individual;</w:t>
      </w:r>
    </w:p>
    <w:p>
      <w:r>
        <w:t>II - identificar, com apoio das unidades, o avaliador responsável por cada contratado;</w:t>
      </w:r>
    </w:p>
    <w:p>
      <w:r>
        <w:t>III - orientar avaliadores e avaliados quanto às regras, aos procedimentos e aos prazos;</w:t>
      </w:r>
    </w:p>
    <w:p>
      <w:r>
        <w:t>IV - Incluir o formulário de avaliação no processo SEI correspondente;</w:t>
      </w:r>
    </w:p>
    <w:p>
      <w:r>
        <w:t>V - acompanhar o cumprimento dos prazos;</w:t>
      </w:r>
    </w:p>
    <w:p>
      <w:r>
        <w:t>VI - verificar a regularidade formal do preenchimento e das assinaturas;</w:t>
      </w:r>
    </w:p>
    <w:p>
      <w:r>
        <w:t>VII - solicitar correções de erros materiais ou complementações necessárias à adequada instrução processual, sem interferir no mérito da avaliação;</w:t>
      </w:r>
    </w:p>
    <w:p>
      <w:r>
        <w:t>VIII - encaminhar os procedimentos relacionados para eventual prorrogação contratual; e</w:t>
      </w:r>
    </w:p>
    <w:p>
      <w:r>
        <w:t>IX - manter os registros necessários ao controle, à rastreabilidade e ao acompanhamento das avaliações.</w:t>
      </w:r>
    </w:p>
    <w:p>
      <w:r>
        <w:t>Art. 29. Compete à Coordenação-Geral de Gestão de Pessoas - CGGP :</w:t>
      </w:r>
    </w:p>
    <w:p>
      <w:r>
        <w:t>I - comunicar institucionalmente as informações relacionadas ao procedimento de avaliação de desempenho;</w:t>
      </w:r>
    </w:p>
    <w:p>
      <w:r>
        <w:t>II - planejar e coordenar a realização do processo de Avaliação de Desempenho Individual; e</w:t>
      </w:r>
    </w:p>
    <w:p>
      <w:r>
        <w:t>III - orientar as unidades da ANPD quanto à aplicação desta portaria.</w:t>
      </w:r>
    </w:p>
    <w:p>
      <w:r>
        <w:t>Art. 30. Compete à Superintendência de Gestão Interna - SGI:</w:t>
      </w:r>
    </w:p>
    <w:p>
      <w:r>
        <w:t>I - propor alterações a este normativo; e</w:t>
      </w:r>
    </w:p>
    <w:p>
      <w:r>
        <w:t>II - avaliar casos omissos.</w:t>
      </w:r>
    </w:p>
    <w:p>
      <w:r>
        <w:t>CAPÍTULO XII</w:t>
      </w:r>
    </w:p>
    <w:p>
      <w:r>
        <w:t>DAS DISPOSIÇÕES FINAIS</w:t>
      </w:r>
    </w:p>
    <w:p>
      <w:r>
        <w:t>Art. 31. Os atos relativos à Avaliação de Desempenho Individual observarão as regras de acesso, as de proteção de dados pessoais e as de gestão documental aplicáveis, sendo formalizados no Sistema Eletrônico de Informações - SEI.</w:t>
      </w:r>
    </w:p>
    <w:p>
      <w:r>
        <w:t>Art. 32. A Coordenação-Geral de Gestão de Pessoas/SGI poderá expedir orientações complementares de caráter operacional, consultada a Superintendência de Gestão Interna, necessárias à execução desta Portaria, desde que não alterem os critérios, direitos, prazos ou competências nela estabelecidos.</w:t>
      </w:r>
    </w:p>
    <w:p>
      <w:r>
        <w:t>Art. 33. Os casos omissos serão decididos pela Superintendência de Gestão Interna - SGI.</w:t>
      </w:r>
    </w:p>
    <w:p>
      <w:r>
        <w:t>Art. 34. Integra esta Portaria, como Anexo I, o Formulário de Avaliação de Desempenho Individual dos profissionais contratados por tempo determinado.</w:t>
      </w:r>
    </w:p>
    <w:p>
      <w:r>
        <w:t>Art. 35. Esta Portaria entra em vigor na data de sua publicação.</w:t>
      </w:r>
    </w:p>
    <w:p>
      <w:r>
        <w:t>WALDEMAR GONÇALVES ORTUNHO JÚNIOR</w:t>
      </w:r>
    </w:p>
    <w:p>
      <w:r>
        <w:t>ANEXO I</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FORMULÁRIO DE AVALIAÇÃO DE DESEMPENHO INDIVIDUAL</w:t>
            </w:r>
          </w:p>
        </w:tc>
        <w:tc>
          <w:tcPr>
            <w:tcW w:type="dxa" w:w="2880"/>
          </w:tcPr>
          <w:p/>
        </w:tc>
        <w:tc>
          <w:tcPr>
            <w:tcW w:type="dxa" w:w="2880"/>
          </w:tcPr>
          <w:p/>
        </w:tc>
      </w:tr>
      <w:tr>
        <w:tc>
          <w:tcPr>
            <w:tcW w:type="dxa" w:w="2880"/>
          </w:tcPr>
          <w:p>
            <w:r>
              <w:t>1. IDENTIFICAÇÃO DO AVALIADO</w:t>
            </w:r>
          </w:p>
        </w:tc>
        <w:tc>
          <w:tcPr>
            <w:tcW w:type="dxa" w:w="2880"/>
          </w:tcPr>
          <w:p/>
        </w:tc>
        <w:tc>
          <w:tcPr>
            <w:tcW w:type="dxa" w:w="2880"/>
          </w:tcPr>
          <w:p/>
        </w:tc>
      </w:tr>
      <w:tr>
        <w:tc>
          <w:tcPr>
            <w:tcW w:type="dxa" w:w="2880"/>
          </w:tcPr>
          <w:p>
            <w:r>
              <w:t>Nome</w:t>
            </w:r>
          </w:p>
        </w:tc>
        <w:tc>
          <w:tcPr>
            <w:tcW w:type="dxa" w:w="2880"/>
          </w:tcPr>
          <w:p>
            <w:r/>
          </w:p>
        </w:tc>
        <w:tc>
          <w:tcPr>
            <w:tcW w:type="dxa" w:w="2880"/>
          </w:tcPr>
          <w:p/>
        </w:tc>
      </w:tr>
      <w:tr>
        <w:tc>
          <w:tcPr>
            <w:tcW w:type="dxa" w:w="2880"/>
          </w:tcPr>
          <w:p>
            <w:r>
              <w:t>Cargo</w:t>
            </w:r>
          </w:p>
        </w:tc>
        <w:tc>
          <w:tcPr>
            <w:tcW w:type="dxa" w:w="2880"/>
          </w:tcPr>
          <w:p>
            <w:r/>
          </w:p>
        </w:tc>
        <w:tc>
          <w:tcPr>
            <w:tcW w:type="dxa" w:w="2880"/>
          </w:tcPr>
          <w:p/>
        </w:tc>
      </w:tr>
      <w:tr>
        <w:tc>
          <w:tcPr>
            <w:tcW w:type="dxa" w:w="2880"/>
          </w:tcPr>
          <w:p>
            <w:r>
              <w:t>Matrícula</w:t>
            </w:r>
          </w:p>
        </w:tc>
        <w:tc>
          <w:tcPr>
            <w:tcW w:type="dxa" w:w="2880"/>
          </w:tcPr>
          <w:p>
            <w:r/>
          </w:p>
        </w:tc>
        <w:tc>
          <w:tcPr>
            <w:tcW w:type="dxa" w:w="2880"/>
          </w:tcPr>
          <w:p/>
        </w:tc>
      </w:tr>
      <w:tr>
        <w:tc>
          <w:tcPr>
            <w:tcW w:type="dxa" w:w="2880"/>
          </w:tcPr>
          <w:p>
            <w:r>
              <w:t>Unidade de Exercício</w:t>
            </w:r>
          </w:p>
        </w:tc>
        <w:tc>
          <w:tcPr>
            <w:tcW w:type="dxa" w:w="2880"/>
          </w:tcPr>
          <w:p>
            <w:r/>
          </w:p>
        </w:tc>
        <w:tc>
          <w:tcPr>
            <w:tcW w:type="dxa" w:w="2880"/>
          </w:tcPr>
          <w:p/>
        </w:tc>
      </w:tr>
      <w:tr>
        <w:tc>
          <w:tcPr>
            <w:tcW w:type="dxa" w:w="2880"/>
          </w:tcPr>
          <w:p>
            <w:r>
              <w:t>Período Avaliativo</w:t>
            </w:r>
          </w:p>
        </w:tc>
        <w:tc>
          <w:tcPr>
            <w:tcW w:type="dxa" w:w="2880"/>
          </w:tcPr>
          <w:p>
            <w:r/>
          </w:p>
        </w:tc>
        <w:tc>
          <w:tcPr>
            <w:tcW w:type="dxa" w:w="2880"/>
          </w:tcPr>
          <w:p/>
        </w:tc>
      </w:tr>
      <w:tr>
        <w:tc>
          <w:tcPr>
            <w:tcW w:type="dxa" w:w="2880"/>
          </w:tcPr>
          <w:p>
            <w:r>
              <w:t>2. IDENTIFICAÇÃO DO AVALIADOR</w:t>
            </w:r>
          </w:p>
        </w:tc>
        <w:tc>
          <w:tcPr>
            <w:tcW w:type="dxa" w:w="2880"/>
          </w:tcPr>
          <w:p/>
        </w:tc>
        <w:tc>
          <w:tcPr>
            <w:tcW w:type="dxa" w:w="2880"/>
          </w:tcPr>
          <w:p/>
        </w:tc>
      </w:tr>
      <w:tr>
        <w:tc>
          <w:tcPr>
            <w:tcW w:type="dxa" w:w="2880"/>
          </w:tcPr>
          <w:p>
            <w:r>
              <w:t>Nome</w:t>
            </w:r>
          </w:p>
        </w:tc>
        <w:tc>
          <w:tcPr>
            <w:tcW w:type="dxa" w:w="2880"/>
          </w:tcPr>
          <w:p>
            <w:r/>
          </w:p>
        </w:tc>
        <w:tc>
          <w:tcPr>
            <w:tcW w:type="dxa" w:w="2880"/>
          </w:tcPr>
          <w:p/>
        </w:tc>
      </w:tr>
      <w:tr>
        <w:tc>
          <w:tcPr>
            <w:tcW w:type="dxa" w:w="2880"/>
          </w:tcPr>
          <w:p>
            <w:r>
              <w:t>Cargo</w:t>
            </w:r>
          </w:p>
        </w:tc>
        <w:tc>
          <w:tcPr>
            <w:tcW w:type="dxa" w:w="2880"/>
          </w:tcPr>
          <w:p>
            <w:r/>
          </w:p>
        </w:tc>
        <w:tc>
          <w:tcPr>
            <w:tcW w:type="dxa" w:w="2880"/>
          </w:tcPr>
          <w:p/>
        </w:tc>
      </w:tr>
      <w:tr>
        <w:tc>
          <w:tcPr>
            <w:tcW w:type="dxa" w:w="2880"/>
          </w:tcPr>
          <w:p>
            <w:r>
              <w:t>Matrícula</w:t>
            </w:r>
          </w:p>
        </w:tc>
        <w:tc>
          <w:tcPr>
            <w:tcW w:type="dxa" w:w="2880"/>
          </w:tcPr>
          <w:p>
            <w:r/>
          </w:p>
        </w:tc>
        <w:tc>
          <w:tcPr>
            <w:tcW w:type="dxa" w:w="2880"/>
          </w:tcPr>
          <w:p/>
        </w:tc>
      </w:tr>
      <w:tr>
        <w:tc>
          <w:tcPr>
            <w:tcW w:type="dxa" w:w="2880"/>
          </w:tcPr>
          <w:p>
            <w:r>
              <w:t>Data da Avaliação</w:t>
            </w:r>
          </w:p>
        </w:tc>
        <w:tc>
          <w:tcPr>
            <w:tcW w:type="dxa" w:w="2880"/>
          </w:tcPr>
          <w:p>
            <w:r/>
          </w:p>
        </w:tc>
        <w:tc>
          <w:tcPr>
            <w:tcW w:type="dxa" w:w="2880"/>
          </w:tcPr>
          <w:p/>
        </w:tc>
      </w:tr>
      <w:tr>
        <w:tc>
          <w:tcPr>
            <w:tcW w:type="dxa" w:w="2880"/>
          </w:tcPr>
          <w:p>
            <w:r>
              <w:t>3. ORIENTAÇÕES PARA A AVALIAÇÃO</w:t>
            </w:r>
          </w:p>
        </w:tc>
        <w:tc>
          <w:tcPr>
            <w:tcW w:type="dxa" w:w="2880"/>
          </w:tcPr>
          <w:p/>
        </w:tc>
        <w:tc>
          <w:tcPr>
            <w:tcW w:type="dxa" w:w="2880"/>
          </w:tcPr>
          <w:p/>
        </w:tc>
      </w:tr>
      <w:tr>
        <w:tc>
          <w:tcPr>
            <w:tcW w:type="dxa" w:w="2880"/>
          </w:tcPr>
          <w:p>
            <w:r>
              <w:t>Para cada fator avaliativo deverá ser atribuída nota inteira de 0 (zero) a 10 (dez), considerando o desempenho do profissional durante o período avaliativo.</w:t>
            </w:r>
          </w:p>
        </w:tc>
        <w:tc>
          <w:tcPr>
            <w:tcW w:type="dxa" w:w="2880"/>
          </w:tcPr>
          <w:p/>
        </w:tc>
        <w:tc>
          <w:tcPr>
            <w:tcW w:type="dxa" w:w="2880"/>
          </w:tcPr>
          <w:p/>
        </w:tc>
      </w:tr>
      <w:tr>
        <w:tc>
          <w:tcPr>
            <w:tcW w:type="dxa" w:w="2880"/>
          </w:tcPr>
          <w:p>
            <w:r>
              <w:t>NOTA</w:t>
            </w:r>
          </w:p>
        </w:tc>
        <w:tc>
          <w:tcPr>
            <w:tcW w:type="dxa" w:w="2880"/>
          </w:tcPr>
          <w:p>
            <w:r>
              <w:t>REFERÊNCIA PARA AVALIAÇÃO</w:t>
            </w:r>
          </w:p>
        </w:tc>
        <w:tc>
          <w:tcPr>
            <w:tcW w:type="dxa" w:w="2880"/>
          </w:tcPr>
          <w:p/>
        </w:tc>
      </w:tr>
      <w:tr>
        <w:tc>
          <w:tcPr>
            <w:tcW w:type="dxa" w:w="2880"/>
          </w:tcPr>
          <w:p>
            <w:r>
              <w:t>0 a 4</w:t>
            </w:r>
          </w:p>
        </w:tc>
        <w:tc>
          <w:tcPr>
            <w:tcW w:type="dxa" w:w="2880"/>
          </w:tcPr>
          <w:p>
            <w:r>
              <w:t>Desempenho muito abaixo do esperado, com não atendimento dos requisitos mínimos estabelecidos.</w:t>
            </w:r>
          </w:p>
        </w:tc>
        <w:tc>
          <w:tcPr>
            <w:tcW w:type="dxa" w:w="2880"/>
          </w:tcPr>
          <w:p/>
        </w:tc>
      </w:tr>
      <w:tr>
        <w:tc>
          <w:tcPr>
            <w:tcW w:type="dxa" w:w="2880"/>
          </w:tcPr>
          <w:p>
            <w:r>
              <w:t>5 a 6</w:t>
            </w:r>
          </w:p>
        </w:tc>
        <w:tc>
          <w:tcPr>
            <w:tcW w:type="dxa" w:w="2880"/>
          </w:tcPr>
          <w:p>
            <w:r>
              <w:t>Desempenho abaixo do esperado, indicando necessidade de melhoria significativa.</w:t>
            </w:r>
          </w:p>
        </w:tc>
        <w:tc>
          <w:tcPr>
            <w:tcW w:type="dxa" w:w="2880"/>
          </w:tcPr>
          <w:p/>
        </w:tc>
      </w:tr>
      <w:tr>
        <w:tc>
          <w:tcPr>
            <w:tcW w:type="dxa" w:w="2880"/>
          </w:tcPr>
          <w:p>
            <w:r>
              <w:t>7 a 8</w:t>
            </w:r>
          </w:p>
        </w:tc>
        <w:tc>
          <w:tcPr>
            <w:tcW w:type="dxa" w:w="2880"/>
          </w:tcPr>
          <w:p>
            <w:r>
              <w:t>Desempenho compatível com o esperado, com atendimento satisfatório dos requisitos estabelecidos.</w:t>
            </w:r>
          </w:p>
        </w:tc>
        <w:tc>
          <w:tcPr>
            <w:tcW w:type="dxa" w:w="2880"/>
          </w:tcPr>
          <w:p/>
        </w:tc>
      </w:tr>
      <w:tr>
        <w:tc>
          <w:tcPr>
            <w:tcW w:type="dxa" w:w="2880"/>
          </w:tcPr>
          <w:p>
            <w:r>
              <w:t>9</w:t>
            </w:r>
          </w:p>
        </w:tc>
        <w:tc>
          <w:tcPr>
            <w:tcW w:type="dxa" w:w="2880"/>
          </w:tcPr>
          <w:p>
            <w:r>
              <w:t>Desempenho acima do esperado, com superação dos requisitos estabelecidos.</w:t>
            </w:r>
          </w:p>
        </w:tc>
        <w:tc>
          <w:tcPr>
            <w:tcW w:type="dxa" w:w="2880"/>
          </w:tcPr>
          <w:p/>
        </w:tc>
      </w:tr>
      <w:tr>
        <w:tc>
          <w:tcPr>
            <w:tcW w:type="dxa" w:w="2880"/>
          </w:tcPr>
          <w:p>
            <w:r>
              <w:t>10</w:t>
            </w:r>
          </w:p>
        </w:tc>
        <w:tc>
          <w:tcPr>
            <w:tcW w:type="dxa" w:w="2880"/>
          </w:tcPr>
          <w:p>
            <w:r>
              <w:t>Desempenho excepcional, muito acima do esperado e de referência no fator avaliado.</w:t>
            </w:r>
          </w:p>
        </w:tc>
        <w:tc>
          <w:tcPr>
            <w:tcW w:type="dxa" w:w="2880"/>
          </w:tcPr>
          <w:p/>
        </w:tc>
      </w:tr>
      <w:tr>
        <w:tc>
          <w:tcPr>
            <w:tcW w:type="dxa" w:w="2880"/>
          </w:tcPr>
          <w:p>
            <w:r>
              <w:t>Obs: a atribuição de nota inferior a 7 (sete) deverá ser acompanhada de justificativa específica do avaliador.</w:t>
            </w:r>
          </w:p>
        </w:tc>
        <w:tc>
          <w:tcPr>
            <w:tcW w:type="dxa" w:w="2880"/>
          </w:tcPr>
          <w:p/>
        </w:tc>
        <w:tc>
          <w:tcPr>
            <w:tcW w:type="dxa" w:w="2880"/>
          </w:tcPr>
          <w:p/>
        </w:tc>
      </w:tr>
      <w:tr>
        <w:tc>
          <w:tcPr>
            <w:tcW w:type="dxa" w:w="2880"/>
          </w:tcPr>
          <w:p>
            <w:r>
              <w:t>4. AVALIAÇÃO DOS FATORES DE DESEMPENHO</w:t>
            </w:r>
          </w:p>
        </w:tc>
        <w:tc>
          <w:tcPr>
            <w:tcW w:type="dxa" w:w="2880"/>
          </w:tcPr>
          <w:p/>
        </w:tc>
        <w:tc>
          <w:tcPr>
            <w:tcW w:type="dxa" w:w="2880"/>
          </w:tcPr>
          <w:p/>
        </w:tc>
      </w:tr>
      <w:tr>
        <w:tc>
          <w:tcPr>
            <w:tcW w:type="dxa" w:w="2880"/>
          </w:tcPr>
          <w:p>
            <w:r>
              <w:t>CRITÉRIO AVALIATIVO</w:t>
            </w:r>
          </w:p>
        </w:tc>
        <w:tc>
          <w:tcPr>
            <w:tcW w:type="dxa" w:w="2880"/>
          </w:tcPr>
          <w:p>
            <w:r>
              <w:t>DESCRIÇÃO DO CRITÉRIO</w:t>
            </w:r>
          </w:p>
        </w:tc>
        <w:tc>
          <w:tcPr>
            <w:tcW w:type="dxa" w:w="2880"/>
          </w:tcPr>
          <w:p>
            <w:r>
              <w:t>NOTA DE 0 A 10</w:t>
            </w:r>
          </w:p>
        </w:tc>
      </w:tr>
      <w:tr>
        <w:tc>
          <w:tcPr>
            <w:tcW w:type="dxa" w:w="2880"/>
          </w:tcPr>
          <w:p>
            <w:r>
              <w:t>I. Produtividade</w:t>
            </w:r>
          </w:p>
        </w:tc>
        <w:tc>
          <w:tcPr>
            <w:tcW w:type="dxa" w:w="2880"/>
          </w:tcPr>
          <w:p>
            <w:r>
              <w:t>Capacidade de aplicar conhecimentos, habilidades e métodos necessários para executar as atividades com qualidade, precisão e segurança, cumprindo prazos, otimizando recursos e alcançando os resultados pactuados. Envolve atuação orientada a soluções, melhoria contínua e entrega de serviços com clareza, humanização e respeito à diversidade.</w:t>
            </w:r>
          </w:p>
        </w:tc>
        <w:tc>
          <w:tcPr>
            <w:tcW w:type="dxa" w:w="2880"/>
          </w:tcPr>
          <w:p>
            <w:r/>
          </w:p>
        </w:tc>
      </w:tr>
      <w:tr>
        <w:tc>
          <w:tcPr>
            <w:tcW w:type="dxa" w:w="2880"/>
          </w:tcPr>
          <w:p>
            <w:r>
              <w:t>Justificativa:</w:t>
            </w:r>
          </w:p>
        </w:tc>
        <w:tc>
          <w:tcPr>
            <w:tcW w:type="dxa" w:w="2880"/>
          </w:tcPr>
          <w:p/>
        </w:tc>
        <w:tc>
          <w:tcPr>
            <w:tcW w:type="dxa" w:w="2880"/>
          </w:tcPr>
          <w:p/>
        </w:tc>
      </w:tr>
      <w:tr>
        <w:tc>
          <w:tcPr>
            <w:tcW w:type="dxa" w:w="2880"/>
          </w:tcPr>
          <w:p>
            <w:r>
              <w:t>II. Responsabilidade</w:t>
            </w:r>
          </w:p>
        </w:tc>
        <w:tc>
          <w:tcPr>
            <w:tcW w:type="dxa" w:w="2880"/>
          </w:tcPr>
          <w:p>
            <w:r>
              <w:t>Demonstra compromisso com as metas, objetivos e obrigações funcionais, atuando com dedicação, zelo e alinhamento às diretrizes institucionais. Preserva o patrimônio público e cumpre corretamente os compromissos assumidos.</w:t>
            </w:r>
          </w:p>
        </w:tc>
        <w:tc>
          <w:tcPr>
            <w:tcW w:type="dxa" w:w="2880"/>
          </w:tcPr>
          <w:p>
            <w:r/>
          </w:p>
        </w:tc>
      </w:tr>
      <w:tr>
        <w:tc>
          <w:tcPr>
            <w:tcW w:type="dxa" w:w="2880"/>
          </w:tcPr>
          <w:p>
            <w:r>
              <w:t>Justificativa:</w:t>
            </w:r>
          </w:p>
        </w:tc>
        <w:tc>
          <w:tcPr>
            <w:tcW w:type="dxa" w:w="2880"/>
          </w:tcPr>
          <w:p/>
        </w:tc>
        <w:tc>
          <w:tcPr>
            <w:tcW w:type="dxa" w:w="2880"/>
          </w:tcPr>
          <w:p/>
        </w:tc>
      </w:tr>
      <w:tr>
        <w:tc>
          <w:tcPr>
            <w:tcW w:type="dxa" w:w="2880"/>
          </w:tcPr>
          <w:p>
            <w:r>
              <w:t>III. Iniciativa</w:t>
            </w:r>
          </w:p>
        </w:tc>
        <w:tc>
          <w:tcPr>
            <w:tcW w:type="dxa" w:w="2880"/>
          </w:tcPr>
          <w:p>
            <w:r>
              <w:t>Demonstra abertura para aprendizagem e receptividade a orientações e feedbacks. Atua de forma colaborativa, compartilha informações, apoia a equipe e busca continuamente desenvolver-se profissionalmente, agindo com proatividade e observância às normas institucionais.</w:t>
            </w:r>
          </w:p>
        </w:tc>
        <w:tc>
          <w:tcPr>
            <w:tcW w:type="dxa" w:w="2880"/>
          </w:tcPr>
          <w:p>
            <w:r/>
          </w:p>
        </w:tc>
      </w:tr>
      <w:tr>
        <w:tc>
          <w:tcPr>
            <w:tcW w:type="dxa" w:w="2880"/>
          </w:tcPr>
          <w:p>
            <w:r>
              <w:t>Justificativa:</w:t>
            </w:r>
          </w:p>
        </w:tc>
        <w:tc>
          <w:tcPr>
            <w:tcW w:type="dxa" w:w="2880"/>
          </w:tcPr>
          <w:p/>
        </w:tc>
        <w:tc>
          <w:tcPr>
            <w:tcW w:type="dxa" w:w="2880"/>
          </w:tcPr>
          <w:p/>
        </w:tc>
      </w:tr>
      <w:tr>
        <w:tc>
          <w:tcPr>
            <w:tcW w:type="dxa" w:w="2880"/>
          </w:tcPr>
          <w:p>
            <w:r>
              <w:t>IV. Disciplina</w:t>
            </w:r>
          </w:p>
        </w:tc>
        <w:tc>
          <w:tcPr>
            <w:tcW w:type="dxa" w:w="2880"/>
          </w:tcPr>
          <w:p>
            <w:r>
              <w:t>Age de forma ética, respeitosa e adequada ao ambiente de trabalho, observando normas institucionais, regulamentos, procedimentos, princípios da Administração Pública e orientações da chefia.</w:t>
            </w:r>
          </w:p>
        </w:tc>
        <w:tc>
          <w:tcPr>
            <w:tcW w:type="dxa" w:w="2880"/>
          </w:tcPr>
          <w:p>
            <w:r/>
          </w:p>
        </w:tc>
      </w:tr>
      <w:tr>
        <w:tc>
          <w:tcPr>
            <w:tcW w:type="dxa" w:w="2880"/>
          </w:tcPr>
          <w:p>
            <w:r>
              <w:t>Justificativa:</w:t>
            </w:r>
          </w:p>
        </w:tc>
        <w:tc>
          <w:tcPr>
            <w:tcW w:type="dxa" w:w="2880"/>
          </w:tcPr>
          <w:p/>
        </w:tc>
        <w:tc>
          <w:tcPr>
            <w:tcW w:type="dxa" w:w="2880"/>
          </w:tcPr>
          <w:p/>
        </w:tc>
      </w:tr>
      <w:tr>
        <w:tc>
          <w:tcPr>
            <w:tcW w:type="dxa" w:w="2880"/>
          </w:tcPr>
          <w:p>
            <w:r>
              <w:t>V. Assiduidade</w:t>
            </w:r>
          </w:p>
        </w:tc>
        <w:tc>
          <w:tcPr>
            <w:tcW w:type="dxa" w:w="2880"/>
          </w:tcPr>
          <w:p>
            <w:r>
              <w:t>Comparece ao trabalho com regularidade e pontualidade, garantindo a continuidade das atividades e informando tempestivamente ocorrências que possam impactar sua presença ou suas entregas. A aferição deverá considerar as especificidades do regime de jornada adotado, seja controle de frequência ou participação no Programa de Gestão e Desempenho - PGD.</w:t>
            </w:r>
          </w:p>
        </w:tc>
        <w:tc>
          <w:tcPr>
            <w:tcW w:type="dxa" w:w="2880"/>
          </w:tcPr>
          <w:p>
            <w:r/>
          </w:p>
        </w:tc>
      </w:tr>
      <w:tr>
        <w:tc>
          <w:tcPr>
            <w:tcW w:type="dxa" w:w="2880"/>
          </w:tcPr>
          <w:p>
            <w:r>
              <w:t>Justificativa:</w:t>
            </w:r>
          </w:p>
        </w:tc>
        <w:tc>
          <w:tcPr>
            <w:tcW w:type="dxa" w:w="2880"/>
          </w:tcPr>
          <w:p/>
        </w:tc>
        <w:tc>
          <w:tcPr>
            <w:tcW w:type="dxa" w:w="2880"/>
          </w:tcPr>
          <w:p/>
        </w:tc>
      </w:tr>
      <w:tr>
        <w:tc>
          <w:tcPr>
            <w:tcW w:type="dxa" w:w="2880"/>
          </w:tcPr>
          <w:p>
            <w:r>
              <w:t>5. RESULTADO FINAL</w:t>
            </w:r>
          </w:p>
        </w:tc>
        <w:tc>
          <w:tcPr>
            <w:tcW w:type="dxa" w:w="2880"/>
          </w:tcPr>
          <w:p/>
        </w:tc>
        <w:tc>
          <w:tcPr>
            <w:tcW w:type="dxa" w:w="2880"/>
          </w:tcPr>
          <w:p/>
        </w:tc>
      </w:tr>
      <w:tr>
        <w:tc>
          <w:tcPr>
            <w:tcW w:type="dxa" w:w="2880"/>
          </w:tcPr>
          <w:p>
            <w:r>
              <w:t>NOTA FINAL: média aritmética simples, obtida mediante a soma das notas atribuídas aos cinco fatores, dividida por cinco, registrada com uma casa decimal, sem arredondamento para número inteiro.</w:t>
            </w:r>
          </w:p>
        </w:tc>
        <w:tc>
          <w:tcPr>
            <w:tcW w:type="dxa" w:w="2880"/>
          </w:tcPr>
          <w:p>
            <w:r/>
          </w:p>
        </w:tc>
        <w:tc>
          <w:tcPr>
            <w:tcW w:type="dxa" w:w="2880"/>
          </w:tcPr>
          <w:p/>
        </w:tc>
      </w:tr>
      <w:tr>
        <w:tc>
          <w:tcPr>
            <w:tcW w:type="dxa" w:w="2880"/>
          </w:tcPr>
          <w:p>
            <w:r>
              <w:t>6. CONCEITO FINAL</w:t>
            </w:r>
          </w:p>
        </w:tc>
        <w:tc>
          <w:tcPr>
            <w:tcW w:type="dxa" w:w="2880"/>
          </w:tcPr>
          <w:p/>
        </w:tc>
        <w:tc>
          <w:tcPr>
            <w:tcW w:type="dxa" w:w="2880"/>
          </w:tcPr>
          <w:p/>
        </w:tc>
      </w:tr>
      <w:tr>
        <w:tc>
          <w:tcPr>
            <w:tcW w:type="dxa" w:w="2880"/>
          </w:tcPr>
          <w:p>
            <w:r>
              <w:t>CONCEITO</w:t>
            </w:r>
          </w:p>
        </w:tc>
        <w:tc>
          <w:tcPr>
            <w:tcW w:type="dxa" w:w="2880"/>
          </w:tcPr>
          <w:p>
            <w:r>
              <w:t>MÉDIA FINAL</w:t>
            </w:r>
          </w:p>
        </w:tc>
        <w:tc>
          <w:tcPr>
            <w:tcW w:type="dxa" w:w="2880"/>
          </w:tcPr>
          <w:p>
            <w:r>
              <w:t>MARQUE COM "X"</w:t>
            </w:r>
          </w:p>
        </w:tc>
      </w:tr>
      <w:tr>
        <w:tc>
          <w:tcPr>
            <w:tcW w:type="dxa" w:w="2880"/>
          </w:tcPr>
          <w:p>
            <w:r>
              <w:t>Excepcional</w:t>
            </w:r>
          </w:p>
        </w:tc>
        <w:tc>
          <w:tcPr>
            <w:tcW w:type="dxa" w:w="2880"/>
          </w:tcPr>
          <w:p>
            <w:r>
              <w:t>10,0</w:t>
            </w:r>
          </w:p>
        </w:tc>
        <w:tc>
          <w:tcPr>
            <w:tcW w:type="dxa" w:w="2880"/>
          </w:tcPr>
          <w:p>
            <w:r/>
          </w:p>
        </w:tc>
      </w:tr>
      <w:tr>
        <w:tc>
          <w:tcPr>
            <w:tcW w:type="dxa" w:w="2880"/>
          </w:tcPr>
          <w:p>
            <w:r>
              <w:t>Alto Desempenho</w:t>
            </w:r>
          </w:p>
        </w:tc>
        <w:tc>
          <w:tcPr>
            <w:tcW w:type="dxa" w:w="2880"/>
          </w:tcPr>
          <w:p>
            <w:r>
              <w:t>Superior a 8,0 e inferior a 10,0</w:t>
            </w:r>
          </w:p>
        </w:tc>
        <w:tc>
          <w:tcPr>
            <w:tcW w:type="dxa" w:w="2880"/>
          </w:tcPr>
          <w:p>
            <w:r/>
          </w:p>
        </w:tc>
      </w:tr>
      <w:tr>
        <w:tc>
          <w:tcPr>
            <w:tcW w:type="dxa" w:w="2880"/>
          </w:tcPr>
          <w:p>
            <w:r>
              <w:t>Adequado</w:t>
            </w:r>
          </w:p>
        </w:tc>
        <w:tc>
          <w:tcPr>
            <w:tcW w:type="dxa" w:w="2880"/>
          </w:tcPr>
          <w:p>
            <w:r>
              <w:t>De 7,0 a 8,0</w:t>
            </w:r>
          </w:p>
        </w:tc>
        <w:tc>
          <w:tcPr>
            <w:tcW w:type="dxa" w:w="2880"/>
          </w:tcPr>
          <w:p>
            <w:r/>
          </w:p>
        </w:tc>
      </w:tr>
      <w:tr>
        <w:tc>
          <w:tcPr>
            <w:tcW w:type="dxa" w:w="2880"/>
          </w:tcPr>
          <w:p>
            <w:r>
              <w:t>Inadequado</w:t>
            </w:r>
          </w:p>
        </w:tc>
        <w:tc>
          <w:tcPr>
            <w:tcW w:type="dxa" w:w="2880"/>
          </w:tcPr>
          <w:p>
            <w:r>
              <w:t>Superior a 4,0 e inferior a 7,0</w:t>
            </w:r>
          </w:p>
        </w:tc>
        <w:tc>
          <w:tcPr>
            <w:tcW w:type="dxa" w:w="2880"/>
          </w:tcPr>
          <w:p>
            <w:r/>
          </w:p>
        </w:tc>
      </w:tr>
      <w:tr>
        <w:tc>
          <w:tcPr>
            <w:tcW w:type="dxa" w:w="2880"/>
          </w:tcPr>
          <w:p>
            <w:r>
              <w:t>Insuficiente</w:t>
            </w:r>
          </w:p>
        </w:tc>
        <w:tc>
          <w:tcPr>
            <w:tcW w:type="dxa" w:w="2880"/>
          </w:tcPr>
          <w:p>
            <w:r>
              <w:t>De 0 a 4,0</w:t>
            </w:r>
          </w:p>
        </w:tc>
        <w:tc>
          <w:tcPr>
            <w:tcW w:type="dxa" w:w="2880"/>
          </w:tcPr>
          <w:p>
            <w:r/>
          </w:p>
        </w:tc>
      </w:tr>
      <w:tr>
        <w:tc>
          <w:tcPr>
            <w:tcW w:type="dxa" w:w="2880"/>
          </w:tcPr>
          <w:p>
            <w:r>
              <w:t>7. CIÊNCIA DO AVALIADO</w:t>
            </w:r>
          </w:p>
        </w:tc>
        <w:tc>
          <w:tcPr>
            <w:tcW w:type="dxa" w:w="2880"/>
          </w:tcPr>
          <w:p/>
        </w:tc>
        <w:tc>
          <w:tcPr>
            <w:tcW w:type="dxa" w:w="2880"/>
          </w:tcPr>
          <w:p/>
        </w:tc>
      </w:tr>
      <w:tr>
        <w:tc>
          <w:tcPr>
            <w:tcW w:type="dxa" w:w="2880"/>
          </w:tcPr>
          <w:p>
            <w:r>
              <w:t>Declaro que tomei ciência do resultado da Avaliação de Desempenho Individual acima registrada. A assinatura deste formulário constitui ciência do resultado e não implica, necessariamente, concordância com a avaliação realizada. Eventual pedido de reconsideração poderá ser apresentado na forma e no prazo estabelecidos no normativo interno da Avaliação de Desempenho Individual dos profissionais contratados por tempo determinado no âmbito da ANPD.</w:t>
            </w:r>
          </w:p>
        </w:tc>
        <w:tc>
          <w:tcPr>
            <w:tcW w:type="dxa" w:w="2880"/>
          </w:tcPr>
          <w:p/>
        </w:tc>
        <w:tc>
          <w:tcPr>
            <w:tcW w:type="dxa" w:w="2880"/>
          </w:tcPr>
          <w:p/>
        </w:tc>
      </w:tr>
    </w:tbl>
    <w:p/>
    <w:p>
      <w:r>
        <w:t>FORMULÁRIO DE AVALIAÇÃO DE DESEMPENHO INDIVIDUAL</w:t>
      </w:r>
    </w:p>
    <w:p>
      <w:r>
        <w:t>1. IDENTIFICAÇÃO DO AVALIADO</w:t>
      </w:r>
    </w:p>
    <w:p>
      <w:r>
        <w:t>Nome</w:t>
      </w:r>
    </w:p>
    <w:p>
      <w:r>
        <w:t>Cargo</w:t>
      </w:r>
    </w:p>
    <w:p>
      <w:r>
        <w:t>Matrícula</w:t>
      </w:r>
    </w:p>
    <w:p>
      <w:r>
        <w:t>Unidade de Exercício</w:t>
      </w:r>
    </w:p>
    <w:p>
      <w:r>
        <w:t>Período Avaliativo</w:t>
      </w:r>
    </w:p>
    <w:p>
      <w:r>
        <w:t>2. IDENTIFICAÇÃO DO AVALIADOR</w:t>
      </w:r>
    </w:p>
    <w:p>
      <w:r>
        <w:t>Nome</w:t>
      </w:r>
    </w:p>
    <w:p>
      <w:r>
        <w:t>Cargo</w:t>
      </w:r>
    </w:p>
    <w:p>
      <w:r>
        <w:t>Matrícula</w:t>
      </w:r>
    </w:p>
    <w:p>
      <w:r>
        <w:t>Data da Avaliação</w:t>
      </w:r>
    </w:p>
    <w:p>
      <w:r>
        <w:t>3. ORIENTAÇÕES PARA A AVALIAÇÃO</w:t>
      </w:r>
    </w:p>
    <w:p>
      <w:r>
        <w:t>Para cada fator avaliativo deverá ser atribuída nota inteira de 0 (zero) a 10 (dez), considerando o desempenho do profissional durante o período avaliativo.</w:t>
      </w:r>
    </w:p>
    <w:p>
      <w:r>
        <w:t>NOTA</w:t>
      </w:r>
    </w:p>
    <w:p>
      <w:r>
        <w:t>REFERÊNCIA PARA AVALIAÇÃO</w:t>
      </w:r>
    </w:p>
    <w:p>
      <w:r>
        <w:t>0 a 4</w:t>
      </w:r>
    </w:p>
    <w:p>
      <w:r>
        <w:t>Desempenho muito abaixo do esperado, com não atendimento dos requisitos mínimos estabelecidos.</w:t>
      </w:r>
    </w:p>
    <w:p>
      <w:r>
        <w:t>5 a 6</w:t>
      </w:r>
    </w:p>
    <w:p>
      <w:r>
        <w:t>Desempenho abaixo do esperado, indicando necessidade de melhoria significativa.</w:t>
      </w:r>
    </w:p>
    <w:p>
      <w:r>
        <w:t>7 a 8</w:t>
      </w:r>
    </w:p>
    <w:p>
      <w:r>
        <w:t>Desempenho compatível com o esperado, com atendimento satisfatório dos requisitos estabelecidos.</w:t>
      </w:r>
    </w:p>
    <w:p>
      <w:r>
        <w:t>9</w:t>
      </w:r>
    </w:p>
    <w:p>
      <w:r>
        <w:t>Desempenho acima do esperado, com superação dos requisitos estabelecidos.</w:t>
      </w:r>
    </w:p>
    <w:p>
      <w:r>
        <w:t>10</w:t>
      </w:r>
    </w:p>
    <w:p>
      <w:r>
        <w:t>Desempenho excepcional, muito acima do esperado e de referência no fator avaliado.</w:t>
      </w:r>
    </w:p>
    <w:p>
      <w:r>
        <w:t>Obs: a atribuição de nota inferior a 7 (sete) deverá ser acompanhada de justificativa específica do avaliador.</w:t>
      </w:r>
    </w:p>
    <w:p>
      <w:r>
        <w:t>4. AVALIAÇÃO DOS FATORES DE DESEMPENHO</w:t>
      </w:r>
    </w:p>
    <w:p>
      <w:r>
        <w:t>CRITÉRIO AVALIATIVO</w:t>
      </w:r>
    </w:p>
    <w:p>
      <w:r>
        <w:t>DESCRIÇÃO DO CRITÉRIO</w:t>
      </w:r>
    </w:p>
    <w:p>
      <w:r>
        <w:t>NOTA DE 0 A 10</w:t>
      </w:r>
    </w:p>
    <w:p>
      <w:r>
        <w:t>I. Produtividade</w:t>
      </w:r>
    </w:p>
    <w:p>
      <w:r>
        <w:t>Capacidade de aplicar conhecimentos, habilidades e métodos necessários para executar as atividades com qualidade, precisão e segurança, cumprindo prazos, otimizando recursos e alcançando os resultados pactuados. Envolve atuação orientada a soluções, melhoria contínua e entrega de serviços com clareza, humanização e respeito à diversidade.</w:t>
      </w:r>
    </w:p>
    <w:p>
      <w:r>
        <w:t>Justificativa:</w:t>
      </w:r>
    </w:p>
    <w:p>
      <w:r>
        <w:t>II. Responsabilidade</w:t>
      </w:r>
    </w:p>
    <w:p>
      <w:r>
        <w:t>Demonstra compromisso com as metas, objetivos e obrigações funcionais, atuando com dedicação, zelo e alinhamento às diretrizes institucionais. Preserva o patrimônio público e cumpre corretamente os compromissos assumidos.</w:t>
      </w:r>
    </w:p>
    <w:p>
      <w:r>
        <w:t>Justificativa:</w:t>
      </w:r>
    </w:p>
    <w:p>
      <w:r>
        <w:t>III. Iniciativa</w:t>
      </w:r>
    </w:p>
    <w:p>
      <w:r>
        <w:t>Demonstra abertura para aprendizagem e receptividade a orientações e feedbacks. Atua de forma colaborativa, compartilha informações, apoia a equipe e busca continuamente desenvolver-se profissionalmente, agindo com proatividade e observância às normas institucionais.</w:t>
      </w:r>
    </w:p>
    <w:p>
      <w:r>
        <w:t>Justificativa:</w:t>
      </w:r>
    </w:p>
    <w:p>
      <w:r>
        <w:t>IV. Disciplina</w:t>
      </w:r>
    </w:p>
    <w:p>
      <w:r>
        <w:t>Age de forma ética, respeitosa e adequada ao ambiente de trabalho, observando normas institucionais, regulamentos, procedimentos, princípios da Administração Pública e orientações da chefia.</w:t>
      </w:r>
    </w:p>
    <w:p>
      <w:r>
        <w:t>Justificativa:</w:t>
      </w:r>
    </w:p>
    <w:p>
      <w:r>
        <w:t>V. Assiduidade</w:t>
      </w:r>
    </w:p>
    <w:p>
      <w:r>
        <w:t>Comparece ao trabalho com regularidade e pontualidade, garantindo a continuidade das atividades e informando tempestivamente ocorrências que possam impactar sua presença ou suas entregas. A aferição deverá considerar as especificidades do regime de jornada adotado, seja controle de frequência ou participação no Programa de Gestão e Desempenho - PGD.</w:t>
      </w:r>
    </w:p>
    <w:p>
      <w:r>
        <w:t>Justificativa:</w:t>
      </w:r>
    </w:p>
    <w:p>
      <w:r>
        <w:t>5. RESULTADO FINAL</w:t>
      </w:r>
    </w:p>
    <w:p>
      <w:r>
        <w:t>NOTA FINAL: média aritmética simples, obtida mediante a soma das notas atribuídas aos cinco fatores, dividida por cinco, registrada com uma casa decimal, sem arredondamento para número inteiro.</w:t>
      </w:r>
    </w:p>
    <w:p>
      <w:r>
        <w:t>6. CONCEITO FINAL</w:t>
      </w:r>
    </w:p>
    <w:p>
      <w:r>
        <w:t>CONCEITO</w:t>
      </w:r>
    </w:p>
    <w:p>
      <w:r>
        <w:t>MÉDIA FINAL</w:t>
      </w:r>
    </w:p>
    <w:p>
      <w:r>
        <w:t>MARQUE COM "X"</w:t>
      </w:r>
    </w:p>
    <w:p>
      <w:r>
        <w:t>Excepcional</w:t>
      </w:r>
    </w:p>
    <w:p>
      <w:r>
        <w:t>10,0</w:t>
      </w:r>
    </w:p>
    <w:p>
      <w:r>
        <w:t>Alto Desempenho</w:t>
      </w:r>
    </w:p>
    <w:p>
      <w:r>
        <w:t>Superior a 8,0 e inferior a 10,0</w:t>
      </w:r>
    </w:p>
    <w:p>
      <w:r>
        <w:t>Adequado</w:t>
      </w:r>
    </w:p>
    <w:p>
      <w:r>
        <w:t>De 7,0 a 8,0</w:t>
      </w:r>
    </w:p>
    <w:p>
      <w:r>
        <w:t>Inadequado</w:t>
      </w:r>
    </w:p>
    <w:p>
      <w:r>
        <w:t>Superior a 4,0 e inferior a 7,0</w:t>
      </w:r>
    </w:p>
    <w:p>
      <w:r>
        <w:t>Insuficiente</w:t>
      </w:r>
    </w:p>
    <w:p>
      <w:r>
        <w:t>De 0 a 4,0</w:t>
      </w:r>
    </w:p>
    <w:p>
      <w:r>
        <w:t>7. CIÊNCIA DO AVALIADO</w:t>
      </w:r>
    </w:p>
    <w:p>
      <w:r>
        <w:t>Declaro que tomei ciência do resultado da Avaliação de Desempenho Individual acima registrada.</w:t>
      </w:r>
    </w:p>
    <w:p>
      <w:r>
        <w:t>A assinatura deste formulário constitui ciência do resultado e não implica, necessariamente, concordância com a avaliação realizada.</w:t>
      </w:r>
    </w:p>
    <w:p>
      <w:r>
        <w:t>Eventual pedido de reconsideração poderá ser apresentado na forma e no prazo estabelecidos no normativo interno da Avaliação de Desempenho Individual dos profissionais contratados por tempo determinado no âmbito da ANPD.</w:t>
      </w:r>
    </w:p>
    <w:p>
      <w:pPr>
        <w:pStyle w:val="Heading2"/>
      </w:pPr>
      <w:r>
        <w:t>Portaria Previc Nº 655, DE 24 DE agosto DE 2026</w:t>
      </w:r>
    </w:p>
    <w:p>
      <w:r>
        <w:t>Categoria: Ministério da Previdência Social/Superintendência Nacional de Previdência Complementar/Diretoria de Licenciamento</w:t>
      </w:r>
    </w:p>
    <w:p>
      <w:r>
        <w:t>Página: 68</w:t>
      </w:r>
    </w:p>
    <w:p/>
    <w:p>
      <w:r>
        <w:t>Portaria Previc Nº 655, DE 24 DE agosto DE 2026</w:t>
      </w:r>
    </w:p>
    <w:p>
      <w:r>
        <w:t>O DIRETOR DE LICENCIAMENTO, no uso das atribuições que lhe confere as alíneas "b", "c", "d", "e", e "l" do inciso I do art. 66 do Anexo I da Portaria nº 861, de 9 de outubro de 2024 (Regimento Interno da Superintendência Nacional de Previdência Complementar - Previc), e considerando as manifestações técnicas exaradas no Processo nº 44011.004242/2024-02, resolve:</w:t>
      </w:r>
    </w:p>
    <w:p>
      <w:r>
        <w:t>Art. 1º Autorizar a cisão do Plano de Aposentadoria Mauá, CNPB nº 1991.0024-83 e CNPJ nº 48.306.801/0001-06, administrado pela Mauá Prev - Sociedade de Previdência Privada, CNPJ nº 40.365.363/0001-45, correspondente à parcela vinculada à patrocinadora Supergasbras Energia Ltda, CNPJ nº 19.791.896/0001-00, com a implantação do Plano de Aposentadoria Superprev para a parcela cindida.</w:t>
      </w:r>
    </w:p>
    <w:p>
      <w:r>
        <w:t>Art. 2º Aprovar a aplicação do regulamento do Plano de Aposentadoria Superprev e a transferência de gerenciamento para a MultiPensions Bradesco - Fundo Multipatrocinado de Previdência Privada, CNPJ nº 02.866.728/0001-26.</w:t>
      </w:r>
    </w:p>
    <w:p>
      <w:r>
        <w:t>Art. 3º Inscrever no Cadastro Nacional de Planos de Benefícios - CNPB o Plano de Aposentadoria Superprev sob o nº 2026.0004-92.</w:t>
      </w:r>
    </w:p>
    <w:p>
      <w:r>
        <w:t>Art. 4º Aprovar o convênio de adesão celebrado entre a empresa Supergasbras Energia Ltda., CNPJ nº 19.791.896/0001-00, na condição de patrocinadora do Plano de Aposentadoria Superprev, CNPB nº 2026.0004-92, e o Multipensions Bradesco - Fundo Multipatrocinado de Previdência Fechada, CNPJ nº 02.866.728/0001-26, responsável pela administração do referido plano.</w:t>
      </w:r>
    </w:p>
    <w:p>
      <w:r>
        <w:t>Art. 5º Esta Portaria entra em vigor na data de sua publicação.</w:t>
      </w:r>
    </w:p>
    <w:p>
      <w:r>
        <w:t>Guilherme Capriata Vaccaro Campelo Bezerra</w:t>
      </w:r>
    </w:p>
    <w:p>
      <w:r>
        <w:br w:type="page"/>
      </w:r>
    </w:p>
    <w:p>
      <w:pPr>
        <w:pStyle w:val="Heading1"/>
      </w:pPr>
      <w:r>
        <w:t>2026-08-28</w:t>
      </w:r>
    </w:p>
    <w:p>
      <w:pPr>
        <w:pStyle w:val="Heading2"/>
      </w:pPr>
      <w:r>
        <w:t>Portaria Previc Nº 661, DE 26 DE agosto DE 2026</w:t>
      </w:r>
    </w:p>
    <w:p>
      <w:pPr>
        <w:pStyle w:val="ListBullet"/>
      </w:pPr>
      <w:r>
        <w:t>Ementa: Atualiza a segmentação das Entidades Fechadas de Previdência Complementar para fins de supervisão, fiscalização e proporcionalidade normativa para o ano de 2027.</w:t>
      </w:r>
    </w:p>
    <w:p>
      <w:r>
        <w:t>Categoria: Ministério da Previdência Social/Superintendência Nacional de Previdência Complementar/Diretoria de  Normas</w:t>
      </w:r>
    </w:p>
    <w:p>
      <w:r>
        <w:t>Página: 127</w:t>
      </w:r>
    </w:p>
    <w:p/>
    <w:p>
      <w:r>
        <w:t>Portaria Previc Nº 661, DE 26 DE agosto DE 2026</w:t>
      </w:r>
    </w:p>
    <w:p>
      <w:r>
        <w:t>Atualiza a segmentação das Entidades Fechadas de Previdência Complementar para fins de supervisão, fiscalização e proporcionalidade normativa para o ano de 2027.</w:t>
      </w:r>
    </w:p>
    <w:p>
      <w:r>
        <w:t>O DIRETOR DE LICENCIAMENTO, no uso das atribuições que lhe confere as alíneas "b", "c", "d", "e", e "l" do inciso I do art. 66 do Anexo I da Portaria nº 861, de 9 de outubro de 2024 (Regimento Interno da Superintendência Nacional de Previdência Complementar - Previc), e considerando as manifestações técnicas exaradas no Processo nº 44011.004242/2024-02, resolve:</w:t>
      </w:r>
    </w:p>
    <w:p>
      <w:r>
        <w:t>Art. 1º Autorizar a cisão do Plano de Aposentadoria Mauá, CNPB nº 1991.0024-83 e CNPJ nº 48.306.801/0001-06, administrado pela Mauá Prev - Sociedade de Previdência Privada, CNPJ nº 40.365.363/0001-45, correspondente à parcela vinculada à patrocinadora Supergasbras Energia Ltda, CNPJ nº 19.791.896/0001-00, com a implantação do Plano de Aposentadoria Superprev para a parcela cindida.</w:t>
      </w:r>
    </w:p>
    <w:p>
      <w:r>
        <w:t>Art. 2º Aprovar a aplicação do regulamento do Plano de Aposentadoria Superprev e a transferência de gerenciamento para a MultiPensions Bradesco - Fundo Multipatrocinado de Previdência Privada, CNPJ nº 02.866.728/0001-26.</w:t>
      </w:r>
    </w:p>
    <w:p>
      <w:r>
        <w:t>Art. 3º Inscrever no Cadastro Nacional de Planos de Benefícios - CNPB o Plano de Aposentadoria Superprev sob o nº 2026.0004-92.</w:t>
      </w:r>
    </w:p>
    <w:p>
      <w:r>
        <w:t>Art. 4º Aprovar o convênio de adesão celebrado entre a empresa Supergasbras Energia Ltda., CNPJ nº 19.791.896/0001-00, na condição de patrocinadora do Plano de Aposentadoria Superprev, CNPB nº 2026.0004-92, e o Multipensions Bradesco - Fundo Multipatrocinado de Previdência Fechada, CNPJ nº 02.866.728/0001-26, responsável pela administração do referido plano.</w:t>
      </w:r>
    </w:p>
    <w:p>
      <w:r>
        <w:t>Art. 5º Esta Portaria entra em vigor na data de sua publicação. O DIRETOR DE NORMAS DA SUPERINTENDÊNCIA NACIONAL DE PREVIDÊNCIA COMPLEMENTAR - PREVIC, no uso das atribuições que lhe foram conferidas pelo art. 18, inciso II, do Anexo I do Decreto nº 11.241, de 18 de outubro de 2022, considerando o disposto no art. 86, inciso I, da Portaria Previc nº 861, de 9 de outubro de 2024, e no art. 4º da Resolução Previc nº 23, de 14 de agosto de 2023; e conforme ciência da Diretoria Colegiada da Previc em sua 797ª Sessão Ordinária em 25/08/2026 e os documentos do Processo SEI nº 44011.006538/2023-79, resolve:</w:t>
      </w:r>
    </w:p>
    <w:p>
      <w:r>
        <w:t>Âmbito e finalidade</w:t>
      </w:r>
    </w:p>
    <w:p>
      <w:r>
        <w:t>Art. 1º Esta Portaria estabelece os critérios para segmentação das Entidades Fechadas de Previdência Complementar - EFPC para fins de supervisão, fiscalização e proporcionalidade normativa, considerando seu porte e complexidade para o sistema de previdência complementar fechada para o ano de 2027.</w:t>
      </w:r>
    </w:p>
    <w:p>
      <w:r>
        <w:t>Segmentos</w:t>
      </w:r>
    </w:p>
    <w:p>
      <w:r>
        <w:t>Art. 2º As EFPC serão enquadradas, em decorrência da soma dos fatores de porte e de complexidade, em um dos seguintes segmentos:</w:t>
      </w:r>
    </w:p>
    <w:p>
      <w:r>
        <w:t>I - segmento 1 (S1);</w:t>
      </w:r>
    </w:p>
    <w:p>
      <w:r>
        <w:t>II - segmento 2 (S2);</w:t>
      </w:r>
    </w:p>
    <w:p>
      <w:r>
        <w:t>III - segmento 3 (S3); ou</w:t>
      </w:r>
    </w:p>
    <w:p>
      <w:r>
        <w:t>IV - segmento 4 (S4).</w:t>
      </w:r>
    </w:p>
    <w:p>
      <w:r>
        <w:t>Critério de porte</w:t>
      </w:r>
    </w:p>
    <w:p>
      <w:r>
        <w:t>Art. 3º Para determinação do fator de porte da EFPC, será utilizada a razão entre a soma das provisões matemáticas dos planos de benefícios que administra e o total das provisões matemáticas de todos os planos administrados pelas demais EFPC, sendo atribuída:</w:t>
      </w:r>
    </w:p>
    <w:p>
      <w:r>
        <w:t>I - nota 4 quando a razão for superior a 1,5%;</w:t>
      </w:r>
    </w:p>
    <w:p>
      <w:r>
        <w:t>II - nota 3 quando a razão for superior a 0,2% e inferior ou igual a 1,5%;</w:t>
      </w:r>
    </w:p>
    <w:p>
      <w:r>
        <w:t>III - nota 2 quando a razão for superior a 0,05% e inferior ou igual 0,2%; ou</w:t>
      </w:r>
    </w:p>
    <w:p>
      <w:r>
        <w:t>IV - nota 1 quando a razão for inferior ou igual a 0,05%.</w:t>
      </w:r>
    </w:p>
    <w:p>
      <w:r>
        <w:t>Critérios de complexidade</w:t>
      </w:r>
    </w:p>
    <w:p>
      <w:r>
        <w:t>Art. 4º Para a determinação da complexidade da EFPC, será utilizada a média ponderada dos 5 critérios descritos abaixo:</w:t>
      </w:r>
    </w:p>
    <w:p>
      <w:r>
        <w:t>I - número total de participantes e assistidos (população) em relação a população total do sistema, sendo atribuída:</w:t>
      </w:r>
    </w:p>
    <w:p>
      <w:r>
        <w:t>a) nota 1 para as entidades com população no primeiro quartil;</w:t>
      </w:r>
    </w:p>
    <w:p>
      <w:r>
        <w:t>b) nota 2 para as entidades com população no segundo quartil;</w:t>
      </w:r>
    </w:p>
    <w:p>
      <w:r>
        <w:t>c) nota 3 para as entidades com população no terceiro quartil; ou</w:t>
      </w:r>
    </w:p>
    <w:p>
      <w:r>
        <w:t>d) nota 4 para as entidades com população no quarto quartil.</w:t>
      </w:r>
    </w:p>
    <w:p>
      <w:r>
        <w:t>II - número de patrocinadores, em relação ao número total de patrocinadores no sistema, sendo atribuída:</w:t>
      </w:r>
    </w:p>
    <w:p>
      <w:r>
        <w:t>a) nota 1 para as entidades que possuam a quantidade de patrocinadores no primeiro quartil;</w:t>
      </w:r>
    </w:p>
    <w:p>
      <w:r>
        <w:t>b) nota 2 para as entidades que possuam a quantidade de patrocinadores no segundo quartil;</w:t>
      </w:r>
    </w:p>
    <w:p>
      <w:r>
        <w:t>c) nota 3 para as entidades que possuam a quantidade de patrocinadores no terceiro quartil; ou</w:t>
      </w:r>
    </w:p>
    <w:p>
      <w:r>
        <w:t>d) nota 4 para as entidades que possuam a quantidade de patrocinadores no quarto quartil.</w:t>
      </w:r>
    </w:p>
    <w:p>
      <w:r>
        <w:t>III - número e modalidade de planos de benefícios, sendo a nota, o resultado da soma dos critérios apresentados abaixo:</w:t>
      </w:r>
    </w:p>
    <w:p>
      <w:r>
        <w:t>a) adiciona-se 1 ponto à nota, se a entidade possui plano de benefício definido;</w:t>
      </w:r>
    </w:p>
    <w:p>
      <w:r>
        <w:t>b) adiciona-se 1 ponto à nota, se a entidade possui plano de contribuição variável;</w:t>
      </w:r>
    </w:p>
    <w:p>
      <w:r>
        <w:t>c) adiciona-se 1 ponto à nota, se a entidade possui plano de contribuição definida; e</w:t>
      </w:r>
    </w:p>
    <w:p>
      <w:r>
        <w:t>d) adiciona-se 1 ponto à nota, se a entidade possui mais de 10 planos de benefícios.</w:t>
      </w:r>
    </w:p>
    <w:p>
      <w:r>
        <w:t>IV - a razão entre o exigível contingencial e o ativo da EFPC, em relação a todo sistema, sendo atribuída:</w:t>
      </w:r>
    </w:p>
    <w:p>
      <w:r>
        <w:t>a) nota 1 para as entidades em que o valor da razão esteja no primeiro quartil;</w:t>
      </w:r>
    </w:p>
    <w:p>
      <w:r>
        <w:t>b) nota 2 para as entidades em que o valor da razão esteja no segundo quartil;</w:t>
      </w:r>
    </w:p>
    <w:p>
      <w:r>
        <w:t>c) nota 3 para as entidades em que o valor da razão esteja no terceiro quartil; ou</w:t>
      </w:r>
    </w:p>
    <w:p>
      <w:r>
        <w:t>d) nota 4 para as entidades em que o valor da razão esteja no quarto quartil.</w:t>
      </w:r>
    </w:p>
    <w:p>
      <w:r>
        <w:t>V - valor do fluxo previdenciário da EFPC em relação ao somatório do fluxo previdenciário de todo o sistema, sendo atribuída:</w:t>
      </w:r>
    </w:p>
    <w:p>
      <w:r>
        <w:t>a) nota 1 para as entidades em que o fluxo previdenciário esteja no primeiro quartil;</w:t>
      </w:r>
    </w:p>
    <w:p>
      <w:r>
        <w:t>b) nota 2 para as entidades em que o fluxo previdenciário esteja no segundo quartil;</w:t>
      </w:r>
    </w:p>
    <w:p>
      <w:r>
        <w:t>c) nota 3 para as entidades em que o fluxo previdenciário esteja no terceiro quartil; ou</w:t>
      </w:r>
    </w:p>
    <w:p>
      <w:r>
        <w:t>d) nota 4 para as entidades em que o fluxo previdenciário esteja no quarto quartil.</w:t>
      </w:r>
    </w:p>
    <w:p>
      <w:r>
        <w:t>Art. 5º Para o cálculo da média ponderada do art. 4º, serão atribuídos os pesos listados abaixo:</w:t>
      </w:r>
    </w:p>
    <w:p>
      <w:r>
        <w:t>I - peso 3 para o critério de número total de participantes e assistidos;</w:t>
      </w:r>
    </w:p>
    <w:p>
      <w:r>
        <w:t>II - peso 1 para o critério de número de patrocinadores;</w:t>
      </w:r>
    </w:p>
    <w:p>
      <w:r>
        <w:t>III - peso 1 para o critério de número e modalidade de planos de benefícios;</w:t>
      </w:r>
    </w:p>
    <w:p>
      <w:r>
        <w:t>IV - peso 2 para o critério da razão entre o exigível contingencial sobre o ativo da EFPC; e</w:t>
      </w:r>
    </w:p>
    <w:p>
      <w:r>
        <w:t>V - peso 2 para o critério do fluxo previdenciário.</w:t>
      </w:r>
    </w:p>
    <w:p>
      <w:r>
        <w:t>Classificação das entidades</w:t>
      </w:r>
    </w:p>
    <w:p>
      <w:r>
        <w:t>Art. 6º Para a classificação das entidades em cada segmento será realizada a soma da pontuação alcançada nos critérios de porte do art. 3º e a pontuação alcançada pela média ponderada dos critérios de complexidade do art. 4º.</w:t>
      </w:r>
    </w:p>
    <w:p>
      <w:r>
        <w:t>Art. 7º Serão classificadas no segmento:</w:t>
      </w:r>
    </w:p>
    <w:p>
      <w:r>
        <w:t>I - S1 as entidades com pontuação superior a 7;</w:t>
      </w:r>
    </w:p>
    <w:p>
      <w:r>
        <w:t>II - S2 as entidades com pontuação superior a 5 e inferior ou igual a 7;</w:t>
      </w:r>
    </w:p>
    <w:p>
      <w:r>
        <w:t>III - S3 as entidades com pontuação superior a 3 e inferior ou igual a 5; ou</w:t>
      </w:r>
    </w:p>
    <w:p>
      <w:r>
        <w:t>IV - S4 as entidades com pontuação inferior ou igual a 3.</w:t>
      </w:r>
    </w:p>
    <w:p>
      <w:r>
        <w:t>Publicação</w:t>
      </w:r>
    </w:p>
    <w:p>
      <w:r>
        <w:t>Art. 8º O Anexo Único, denominado Lista de EFPC por quadrante de segmentação - 2027, foi elaborado com base em informações consolidadas das EFPC relativas ao mês de dezembro de 2025.</w:t>
      </w:r>
    </w:p>
    <w:p>
      <w:r>
        <w:t>Art. 9º Fica revogada, a partir de 1º de janeiro de 2027, a Portaria Previc nº 539, de 17 de junho de 2025, publicada no Diário Oficial da União em 23 de junho de 2025, edição nº 155, seção 1, página 62.</w:t>
      </w:r>
    </w:p>
    <w:p>
      <w:r>
        <w:t>Art. 10. Esta Portaria entra em vigor em 1º de janeiro de 2027.</w:t>
      </w:r>
    </w:p>
    <w:p>
      <w:r>
        <w:t>ALCINEI CARDOSO RODRIGUES</w:t>
      </w:r>
    </w:p>
    <w:p>
      <w:r>
        <w:t>ANEXO ÚNICO</w:t>
      </w:r>
    </w:p>
    <w:p>
      <w:r>
        <w:t>Lista de EFPC por quadrante da segmentação - 2027</w:t>
      </w:r>
    </w:p>
    <w:tbl>
      <w:tblPr>
        <w:tblW w:type="auto" w:w="0"/>
        <w:tblLook w:firstColumn="1" w:firstRow="1" w:lastColumn="0" w:lastRow="0" w:noHBand="0" w:noVBand="1" w:val="04A0"/>
      </w:tblPr>
      <w:tblGrid>
        <w:gridCol w:w="4320"/>
        <w:gridCol w:w="4320"/>
      </w:tblGrid>
      <w:tr>
        <w:tc>
          <w:tcPr>
            <w:tcW w:type="dxa" w:w="4320"/>
          </w:tcPr>
          <w:p/>
        </w:tc>
        <w:tc>
          <w:tcPr>
            <w:tcW w:type="dxa" w:w="4320"/>
          </w:tcPr>
          <w:p/>
        </w:tc>
      </w:tr>
      <w:tr>
        <w:tc>
          <w:tcPr>
            <w:tcW w:type="dxa" w:w="4320"/>
          </w:tcPr>
          <w:p>
            <w:r>
              <w:t>Sigla EFPC</w:t>
            </w:r>
          </w:p>
        </w:tc>
        <w:tc>
          <w:tcPr>
            <w:tcW w:type="dxa" w:w="4320"/>
          </w:tcPr>
          <w:p>
            <w:r>
              <w:t>Segmento</w:t>
            </w:r>
          </w:p>
        </w:tc>
      </w:tr>
      <w:tr>
        <w:tc>
          <w:tcPr>
            <w:tcW w:type="dxa" w:w="4320"/>
          </w:tcPr>
          <w:p>
            <w:r>
              <w:t>BANESPREV</w:t>
            </w:r>
          </w:p>
        </w:tc>
        <w:tc>
          <w:tcPr>
            <w:tcW w:type="dxa" w:w="4320"/>
          </w:tcPr>
          <w:p>
            <w:r>
              <w:t>S1</w:t>
            </w:r>
          </w:p>
        </w:tc>
      </w:tr>
      <w:tr>
        <w:tc>
          <w:tcPr>
            <w:tcW w:type="dxa" w:w="4320"/>
          </w:tcPr>
          <w:p>
            <w:r>
              <w:t>FORLUZ</w:t>
            </w:r>
          </w:p>
        </w:tc>
        <w:tc>
          <w:tcPr>
            <w:tcW w:type="dxa" w:w="4320"/>
          </w:tcPr>
          <w:p>
            <w:r>
              <w:t>S1</w:t>
            </w:r>
          </w:p>
        </w:tc>
      </w:tr>
      <w:tr>
        <w:tc>
          <w:tcPr>
            <w:tcW w:type="dxa" w:w="4320"/>
          </w:tcPr>
          <w:p>
            <w:r>
              <w:t>FUNCEF</w:t>
            </w:r>
          </w:p>
        </w:tc>
        <w:tc>
          <w:tcPr>
            <w:tcW w:type="dxa" w:w="4320"/>
          </w:tcPr>
          <w:p>
            <w:r>
              <w:t>S1</w:t>
            </w:r>
          </w:p>
        </w:tc>
      </w:tr>
      <w:tr>
        <w:tc>
          <w:tcPr>
            <w:tcW w:type="dxa" w:w="4320"/>
          </w:tcPr>
          <w:p>
            <w:r>
              <w:t>FUNCESP (VIVEST)</w:t>
            </w:r>
          </w:p>
        </w:tc>
        <w:tc>
          <w:tcPr>
            <w:tcW w:type="dxa" w:w="4320"/>
          </w:tcPr>
          <w:p>
            <w:r>
              <w:t>S1</w:t>
            </w:r>
          </w:p>
        </w:tc>
      </w:tr>
      <w:tr>
        <w:tc>
          <w:tcPr>
            <w:tcW w:type="dxa" w:w="4320"/>
          </w:tcPr>
          <w:p>
            <w:r>
              <w:t>ITAU UNIBANCO</w:t>
            </w:r>
          </w:p>
        </w:tc>
        <w:tc>
          <w:tcPr>
            <w:tcW w:type="dxa" w:w="4320"/>
          </w:tcPr>
          <w:p>
            <w:r>
              <w:t>S1</w:t>
            </w:r>
          </w:p>
        </w:tc>
      </w:tr>
      <w:tr>
        <w:tc>
          <w:tcPr>
            <w:tcW w:type="dxa" w:w="4320"/>
          </w:tcPr>
          <w:p>
            <w:r>
              <w:t>PETROS</w:t>
            </w:r>
          </w:p>
        </w:tc>
        <w:tc>
          <w:tcPr>
            <w:tcW w:type="dxa" w:w="4320"/>
          </w:tcPr>
          <w:p>
            <w:r>
              <w:t>S1</w:t>
            </w:r>
          </w:p>
        </w:tc>
      </w:tr>
      <w:tr>
        <w:tc>
          <w:tcPr>
            <w:tcW w:type="dxa" w:w="4320"/>
          </w:tcPr>
          <w:p>
            <w:r>
              <w:t>POSTALIS</w:t>
            </w:r>
          </w:p>
        </w:tc>
        <w:tc>
          <w:tcPr>
            <w:tcW w:type="dxa" w:w="4320"/>
          </w:tcPr>
          <w:p>
            <w:r>
              <w:t>S1</w:t>
            </w:r>
          </w:p>
        </w:tc>
      </w:tr>
      <w:tr>
        <w:tc>
          <w:tcPr>
            <w:tcW w:type="dxa" w:w="4320"/>
          </w:tcPr>
          <w:p>
            <w:r>
              <w:t>PREVI/BB</w:t>
            </w:r>
          </w:p>
        </w:tc>
        <w:tc>
          <w:tcPr>
            <w:tcW w:type="dxa" w:w="4320"/>
          </w:tcPr>
          <w:p>
            <w:r>
              <w:t>S1</w:t>
            </w:r>
          </w:p>
        </w:tc>
      </w:tr>
      <w:tr>
        <w:tc>
          <w:tcPr>
            <w:tcW w:type="dxa" w:w="4320"/>
          </w:tcPr>
          <w:p>
            <w:r>
              <w:t>VALIA</w:t>
            </w:r>
          </w:p>
        </w:tc>
        <w:tc>
          <w:tcPr>
            <w:tcW w:type="dxa" w:w="4320"/>
          </w:tcPr>
          <w:p>
            <w:r>
              <w:t>S1</w:t>
            </w:r>
          </w:p>
        </w:tc>
      </w:tr>
      <w:tr>
        <w:tc>
          <w:tcPr>
            <w:tcW w:type="dxa" w:w="4320"/>
          </w:tcPr>
          <w:p>
            <w:r>
              <w:t>BANRISUL/FBSS</w:t>
            </w:r>
          </w:p>
        </w:tc>
        <w:tc>
          <w:tcPr>
            <w:tcW w:type="dxa" w:w="4320"/>
          </w:tcPr>
          <w:p>
            <w:r>
              <w:t>S2</w:t>
            </w:r>
          </w:p>
        </w:tc>
      </w:tr>
      <w:tr>
        <w:tc>
          <w:tcPr>
            <w:tcW w:type="dxa" w:w="4320"/>
          </w:tcPr>
          <w:p>
            <w:r>
              <w:t>BB PREVIDENCIA</w:t>
            </w:r>
          </w:p>
        </w:tc>
        <w:tc>
          <w:tcPr>
            <w:tcW w:type="dxa" w:w="4320"/>
          </w:tcPr>
          <w:p>
            <w:r>
              <w:t>S2</w:t>
            </w:r>
          </w:p>
        </w:tc>
      </w:tr>
      <w:tr>
        <w:tc>
          <w:tcPr>
            <w:tcW w:type="dxa" w:w="4320"/>
          </w:tcPr>
          <w:p>
            <w:r>
              <w:t>BRASLIGHT</w:t>
            </w:r>
          </w:p>
        </w:tc>
        <w:tc>
          <w:tcPr>
            <w:tcW w:type="dxa" w:w="4320"/>
          </w:tcPr>
          <w:p>
            <w:r>
              <w:t>S2</w:t>
            </w:r>
          </w:p>
        </w:tc>
      </w:tr>
      <w:tr>
        <w:tc>
          <w:tcPr>
            <w:tcW w:type="dxa" w:w="4320"/>
          </w:tcPr>
          <w:p>
            <w:r>
              <w:t>BRF PREVIDÊNCIA</w:t>
            </w:r>
          </w:p>
        </w:tc>
        <w:tc>
          <w:tcPr>
            <w:tcW w:type="dxa" w:w="4320"/>
          </w:tcPr>
          <w:p>
            <w:r>
              <w:t>S2</w:t>
            </w:r>
          </w:p>
        </w:tc>
      </w:tr>
      <w:tr>
        <w:tc>
          <w:tcPr>
            <w:tcW w:type="dxa" w:w="4320"/>
          </w:tcPr>
          <w:p>
            <w:r>
              <w:t>CAPEF</w:t>
            </w:r>
          </w:p>
        </w:tc>
        <w:tc>
          <w:tcPr>
            <w:tcW w:type="dxa" w:w="4320"/>
          </w:tcPr>
          <w:p>
            <w:r>
              <w:t>S2</w:t>
            </w:r>
          </w:p>
        </w:tc>
      </w:tr>
      <w:tr>
        <w:tc>
          <w:tcPr>
            <w:tcW w:type="dxa" w:w="4320"/>
          </w:tcPr>
          <w:p>
            <w:r>
              <w:t>CBS</w:t>
            </w:r>
          </w:p>
        </w:tc>
        <w:tc>
          <w:tcPr>
            <w:tcW w:type="dxa" w:w="4320"/>
          </w:tcPr>
          <w:p>
            <w:r>
              <w:t>S2</w:t>
            </w:r>
          </w:p>
        </w:tc>
      </w:tr>
      <w:tr>
        <w:tc>
          <w:tcPr>
            <w:tcW w:type="dxa" w:w="4320"/>
          </w:tcPr>
          <w:p>
            <w:r>
              <w:t>CELOS</w:t>
            </w:r>
          </w:p>
        </w:tc>
        <w:tc>
          <w:tcPr>
            <w:tcW w:type="dxa" w:w="4320"/>
          </w:tcPr>
          <w:p>
            <w:r>
              <w:t>S2</w:t>
            </w:r>
          </w:p>
        </w:tc>
      </w:tr>
      <w:tr>
        <w:tc>
          <w:tcPr>
            <w:tcW w:type="dxa" w:w="4320"/>
          </w:tcPr>
          <w:p>
            <w:r>
              <w:t>CENTRUS</w:t>
            </w:r>
          </w:p>
        </w:tc>
        <w:tc>
          <w:tcPr>
            <w:tcW w:type="dxa" w:w="4320"/>
          </w:tcPr>
          <w:p>
            <w:r>
              <w:t>S2</w:t>
            </w:r>
          </w:p>
        </w:tc>
      </w:tr>
      <w:tr>
        <w:tc>
          <w:tcPr>
            <w:tcW w:type="dxa" w:w="4320"/>
          </w:tcPr>
          <w:p>
            <w:r>
              <w:t>CERES</w:t>
            </w:r>
          </w:p>
        </w:tc>
        <w:tc>
          <w:tcPr>
            <w:tcW w:type="dxa" w:w="4320"/>
          </w:tcPr>
          <w:p>
            <w:r>
              <w:t>S2</w:t>
            </w:r>
          </w:p>
        </w:tc>
      </w:tr>
      <w:tr>
        <w:tc>
          <w:tcPr>
            <w:tcW w:type="dxa" w:w="4320"/>
          </w:tcPr>
          <w:p>
            <w:r>
              <w:t>CIBRIUS</w:t>
            </w:r>
          </w:p>
        </w:tc>
        <w:tc>
          <w:tcPr>
            <w:tcW w:type="dxa" w:w="4320"/>
          </w:tcPr>
          <w:p>
            <w:r>
              <w:t>S2</w:t>
            </w:r>
          </w:p>
        </w:tc>
      </w:tr>
      <w:tr>
        <w:tc>
          <w:tcPr>
            <w:tcW w:type="dxa" w:w="4320"/>
          </w:tcPr>
          <w:p>
            <w:r>
              <w:t>CITIPREVI</w:t>
            </w:r>
          </w:p>
        </w:tc>
        <w:tc>
          <w:tcPr>
            <w:tcW w:type="dxa" w:w="4320"/>
          </w:tcPr>
          <w:p>
            <w:r>
              <w:t>S2</w:t>
            </w:r>
          </w:p>
        </w:tc>
      </w:tr>
      <w:tr>
        <w:tc>
          <w:tcPr>
            <w:tcW w:type="dxa" w:w="4320"/>
          </w:tcPr>
          <w:p>
            <w:r>
              <w:t>ECONOMUS</w:t>
            </w:r>
          </w:p>
        </w:tc>
        <w:tc>
          <w:tcPr>
            <w:tcW w:type="dxa" w:w="4320"/>
          </w:tcPr>
          <w:p>
            <w:r>
              <w:t>S2</w:t>
            </w:r>
          </w:p>
        </w:tc>
      </w:tr>
      <w:tr>
        <w:tc>
          <w:tcPr>
            <w:tcW w:type="dxa" w:w="4320"/>
          </w:tcPr>
          <w:p>
            <w:r>
              <w:t>ELETROS</w:t>
            </w:r>
          </w:p>
        </w:tc>
        <w:tc>
          <w:tcPr>
            <w:tcW w:type="dxa" w:w="4320"/>
          </w:tcPr>
          <w:p>
            <w:r>
              <w:t>S2</w:t>
            </w:r>
          </w:p>
        </w:tc>
      </w:tr>
      <w:tr>
        <w:tc>
          <w:tcPr>
            <w:tcW w:type="dxa" w:w="4320"/>
          </w:tcPr>
          <w:p>
            <w:r>
              <w:t>ELOS</w:t>
            </w:r>
          </w:p>
        </w:tc>
        <w:tc>
          <w:tcPr>
            <w:tcW w:type="dxa" w:w="4320"/>
          </w:tcPr>
          <w:p>
            <w:r>
              <w:t>S2</w:t>
            </w:r>
          </w:p>
        </w:tc>
      </w:tr>
      <w:tr>
        <w:tc>
          <w:tcPr>
            <w:tcW w:type="dxa" w:w="4320"/>
          </w:tcPr>
          <w:p>
            <w:r>
              <w:t>EMBRAER PREV</w:t>
            </w:r>
          </w:p>
        </w:tc>
        <w:tc>
          <w:tcPr>
            <w:tcW w:type="dxa" w:w="4320"/>
          </w:tcPr>
          <w:p>
            <w:r>
              <w:t>S2</w:t>
            </w:r>
          </w:p>
        </w:tc>
      </w:tr>
      <w:tr>
        <w:tc>
          <w:tcPr>
            <w:tcW w:type="dxa" w:w="4320"/>
          </w:tcPr>
          <w:p>
            <w:r>
              <w:t>ENERGISAPREV</w:t>
            </w:r>
          </w:p>
        </w:tc>
        <w:tc>
          <w:tcPr>
            <w:tcW w:type="dxa" w:w="4320"/>
          </w:tcPr>
          <w:p>
            <w:r>
              <w:t>S2</w:t>
            </w:r>
          </w:p>
        </w:tc>
      </w:tr>
      <w:tr>
        <w:tc>
          <w:tcPr>
            <w:tcW w:type="dxa" w:w="4320"/>
          </w:tcPr>
          <w:p>
            <w:r>
              <w:t>EQTPREV</w:t>
            </w:r>
          </w:p>
        </w:tc>
        <w:tc>
          <w:tcPr>
            <w:tcW w:type="dxa" w:w="4320"/>
          </w:tcPr>
          <w:p>
            <w:r>
              <w:t>S2</w:t>
            </w:r>
          </w:p>
        </w:tc>
      </w:tr>
      <w:tr>
        <w:tc>
          <w:tcPr>
            <w:tcW w:type="dxa" w:w="4320"/>
          </w:tcPr>
          <w:p>
            <w:r>
              <w:t>FACHESF</w:t>
            </w:r>
          </w:p>
        </w:tc>
        <w:tc>
          <w:tcPr>
            <w:tcW w:type="dxa" w:w="4320"/>
          </w:tcPr>
          <w:p>
            <w:r>
              <w:t>S2</w:t>
            </w:r>
          </w:p>
        </w:tc>
      </w:tr>
      <w:tr>
        <w:tc>
          <w:tcPr>
            <w:tcW w:type="dxa" w:w="4320"/>
          </w:tcPr>
          <w:p>
            <w:r>
              <w:t>FAMILIA PREVIDENCIA</w:t>
            </w:r>
          </w:p>
        </w:tc>
        <w:tc>
          <w:tcPr>
            <w:tcW w:type="dxa" w:w="4320"/>
          </w:tcPr>
          <w:p>
            <w:r>
              <w:t>S2</w:t>
            </w:r>
          </w:p>
        </w:tc>
      </w:tr>
      <w:tr>
        <w:tc>
          <w:tcPr>
            <w:tcW w:type="dxa" w:w="4320"/>
          </w:tcPr>
          <w:p>
            <w:r>
              <w:t>FAPES</w:t>
            </w:r>
          </w:p>
        </w:tc>
        <w:tc>
          <w:tcPr>
            <w:tcW w:type="dxa" w:w="4320"/>
          </w:tcPr>
          <w:p>
            <w:r>
              <w:t>S2</w:t>
            </w:r>
          </w:p>
        </w:tc>
      </w:tr>
      <w:tr>
        <w:tc>
          <w:tcPr>
            <w:tcW w:type="dxa" w:w="4320"/>
          </w:tcPr>
          <w:p>
            <w:r>
              <w:t>FATL</w:t>
            </w:r>
          </w:p>
        </w:tc>
        <w:tc>
          <w:tcPr>
            <w:tcW w:type="dxa" w:w="4320"/>
          </w:tcPr>
          <w:p>
            <w:r>
              <w:t>S2</w:t>
            </w:r>
          </w:p>
        </w:tc>
      </w:tr>
      <w:tr>
        <w:tc>
          <w:tcPr>
            <w:tcW w:type="dxa" w:w="4320"/>
          </w:tcPr>
          <w:p>
            <w:r>
              <w:t>FIBRA</w:t>
            </w:r>
          </w:p>
        </w:tc>
        <w:tc>
          <w:tcPr>
            <w:tcW w:type="dxa" w:w="4320"/>
          </w:tcPr>
          <w:p>
            <w:r>
              <w:t>S2</w:t>
            </w:r>
          </w:p>
        </w:tc>
      </w:tr>
      <w:tr>
        <w:tc>
          <w:tcPr>
            <w:tcW w:type="dxa" w:w="4320"/>
          </w:tcPr>
          <w:p>
            <w:r>
              <w:t>FUNBEP</w:t>
            </w:r>
          </w:p>
        </w:tc>
        <w:tc>
          <w:tcPr>
            <w:tcW w:type="dxa" w:w="4320"/>
          </w:tcPr>
          <w:p>
            <w:r>
              <w:t>S2</w:t>
            </w:r>
          </w:p>
        </w:tc>
      </w:tr>
      <w:tr>
        <w:tc>
          <w:tcPr>
            <w:tcW w:type="dxa" w:w="4320"/>
          </w:tcPr>
          <w:p>
            <w:r>
              <w:t>FUNDACAO COPEL</w:t>
            </w:r>
          </w:p>
        </w:tc>
        <w:tc>
          <w:tcPr>
            <w:tcW w:type="dxa" w:w="4320"/>
          </w:tcPr>
          <w:p>
            <w:r>
              <w:t>S2</w:t>
            </w:r>
          </w:p>
        </w:tc>
      </w:tr>
      <w:tr>
        <w:tc>
          <w:tcPr>
            <w:tcW w:type="dxa" w:w="4320"/>
          </w:tcPr>
          <w:p>
            <w:r>
              <w:t>FUNDAÇÃO LIBERTAS</w:t>
            </w:r>
          </w:p>
        </w:tc>
        <w:tc>
          <w:tcPr>
            <w:tcW w:type="dxa" w:w="4320"/>
          </w:tcPr>
          <w:p>
            <w:r>
              <w:t>S2</w:t>
            </w:r>
          </w:p>
        </w:tc>
      </w:tr>
      <w:tr>
        <w:tc>
          <w:tcPr>
            <w:tcW w:type="dxa" w:w="4320"/>
          </w:tcPr>
          <w:p>
            <w:r>
              <w:t>FUNEPP</w:t>
            </w:r>
          </w:p>
        </w:tc>
        <w:tc>
          <w:tcPr>
            <w:tcW w:type="dxa" w:w="4320"/>
          </w:tcPr>
          <w:p>
            <w:r>
              <w:t>S2</w:t>
            </w:r>
          </w:p>
        </w:tc>
      </w:tr>
      <w:tr>
        <w:tc>
          <w:tcPr>
            <w:tcW w:type="dxa" w:w="4320"/>
          </w:tcPr>
          <w:p>
            <w:r>
              <w:t>FUNPRESP-EXE</w:t>
            </w:r>
          </w:p>
        </w:tc>
        <w:tc>
          <w:tcPr>
            <w:tcW w:type="dxa" w:w="4320"/>
          </w:tcPr>
          <w:p>
            <w:r>
              <w:t>S2</w:t>
            </w:r>
          </w:p>
        </w:tc>
      </w:tr>
      <w:tr>
        <w:tc>
          <w:tcPr>
            <w:tcW w:type="dxa" w:w="4320"/>
          </w:tcPr>
          <w:p>
            <w:r>
              <w:t>FUNPRESP-JUD</w:t>
            </w:r>
          </w:p>
        </w:tc>
        <w:tc>
          <w:tcPr>
            <w:tcW w:type="dxa" w:w="4320"/>
          </w:tcPr>
          <w:p>
            <w:r>
              <w:t>S2</w:t>
            </w:r>
          </w:p>
        </w:tc>
      </w:tr>
      <w:tr>
        <w:tc>
          <w:tcPr>
            <w:tcW w:type="dxa" w:w="4320"/>
          </w:tcPr>
          <w:p>
            <w:r>
              <w:t>FUNSSEST</w:t>
            </w:r>
          </w:p>
        </w:tc>
        <w:tc>
          <w:tcPr>
            <w:tcW w:type="dxa" w:w="4320"/>
          </w:tcPr>
          <w:p>
            <w:r>
              <w:t>S2</w:t>
            </w:r>
          </w:p>
        </w:tc>
      </w:tr>
      <w:tr>
        <w:tc>
          <w:tcPr>
            <w:tcW w:type="dxa" w:w="4320"/>
          </w:tcPr>
          <w:p>
            <w:r>
              <w:t>FUSAN</w:t>
            </w:r>
          </w:p>
        </w:tc>
        <w:tc>
          <w:tcPr>
            <w:tcW w:type="dxa" w:w="4320"/>
          </w:tcPr>
          <w:p>
            <w:r>
              <w:t>S2</w:t>
            </w:r>
          </w:p>
        </w:tc>
      </w:tr>
      <w:tr>
        <w:tc>
          <w:tcPr>
            <w:tcW w:type="dxa" w:w="4320"/>
          </w:tcPr>
          <w:p>
            <w:r>
              <w:t>FUSESC</w:t>
            </w:r>
          </w:p>
        </w:tc>
        <w:tc>
          <w:tcPr>
            <w:tcW w:type="dxa" w:w="4320"/>
          </w:tcPr>
          <w:p>
            <w:r>
              <w:t>S2</w:t>
            </w:r>
          </w:p>
        </w:tc>
      </w:tr>
      <w:tr>
        <w:tc>
          <w:tcPr>
            <w:tcW w:type="dxa" w:w="4320"/>
          </w:tcPr>
          <w:p>
            <w:r>
              <w:t>GEBSA-PREV</w:t>
            </w:r>
          </w:p>
        </w:tc>
        <w:tc>
          <w:tcPr>
            <w:tcW w:type="dxa" w:w="4320"/>
          </w:tcPr>
          <w:p>
            <w:r>
              <w:t>S2</w:t>
            </w:r>
          </w:p>
        </w:tc>
      </w:tr>
      <w:tr>
        <w:tc>
          <w:tcPr>
            <w:tcW w:type="dxa" w:w="4320"/>
          </w:tcPr>
          <w:p>
            <w:r>
              <w:t>GERDAU</w:t>
            </w:r>
          </w:p>
        </w:tc>
        <w:tc>
          <w:tcPr>
            <w:tcW w:type="dxa" w:w="4320"/>
          </w:tcPr>
          <w:p>
            <w:r>
              <w:t>S2</w:t>
            </w:r>
          </w:p>
        </w:tc>
      </w:tr>
      <w:tr>
        <w:tc>
          <w:tcPr>
            <w:tcW w:type="dxa" w:w="4320"/>
          </w:tcPr>
          <w:p>
            <w:r>
              <w:t>IBM</w:t>
            </w:r>
          </w:p>
        </w:tc>
        <w:tc>
          <w:tcPr>
            <w:tcW w:type="dxa" w:w="4320"/>
          </w:tcPr>
          <w:p>
            <w:r>
              <w:t>S2</w:t>
            </w:r>
          </w:p>
        </w:tc>
      </w:tr>
      <w:tr>
        <w:tc>
          <w:tcPr>
            <w:tcW w:type="dxa" w:w="4320"/>
          </w:tcPr>
          <w:p>
            <w:r>
              <w:t>ICATUFMP</w:t>
            </w:r>
          </w:p>
        </w:tc>
        <w:tc>
          <w:tcPr>
            <w:tcW w:type="dxa" w:w="4320"/>
          </w:tcPr>
          <w:p>
            <w:r>
              <w:t>S2</w:t>
            </w:r>
          </w:p>
        </w:tc>
      </w:tr>
      <w:tr>
        <w:tc>
          <w:tcPr>
            <w:tcW w:type="dxa" w:w="4320"/>
          </w:tcPr>
          <w:p>
            <w:r>
              <w:t>IFM</w:t>
            </w:r>
          </w:p>
        </w:tc>
        <w:tc>
          <w:tcPr>
            <w:tcW w:type="dxa" w:w="4320"/>
          </w:tcPr>
          <w:p>
            <w:r>
              <w:t>S2</w:t>
            </w:r>
          </w:p>
        </w:tc>
      </w:tr>
      <w:tr>
        <w:tc>
          <w:tcPr>
            <w:tcW w:type="dxa" w:w="4320"/>
          </w:tcPr>
          <w:p>
            <w:r>
              <w:t>INFRAPREV</w:t>
            </w:r>
          </w:p>
        </w:tc>
        <w:tc>
          <w:tcPr>
            <w:tcW w:type="dxa" w:w="4320"/>
          </w:tcPr>
          <w:p>
            <w:r>
              <w:t>S2</w:t>
            </w:r>
          </w:p>
        </w:tc>
      </w:tr>
      <w:tr>
        <w:tc>
          <w:tcPr>
            <w:tcW w:type="dxa" w:w="4320"/>
          </w:tcPr>
          <w:p>
            <w:r>
              <w:t>INSTITUTO AMBEV</w:t>
            </w:r>
          </w:p>
        </w:tc>
        <w:tc>
          <w:tcPr>
            <w:tcW w:type="dxa" w:w="4320"/>
          </w:tcPr>
          <w:p>
            <w:r>
              <w:t>S2</w:t>
            </w:r>
          </w:p>
        </w:tc>
      </w:tr>
      <w:tr>
        <w:tc>
          <w:tcPr>
            <w:tcW w:type="dxa" w:w="4320"/>
          </w:tcPr>
          <w:p>
            <w:r>
              <w:t>ITAUSAINDL</w:t>
            </w:r>
          </w:p>
        </w:tc>
        <w:tc>
          <w:tcPr>
            <w:tcW w:type="dxa" w:w="4320"/>
          </w:tcPr>
          <w:p>
            <w:r>
              <w:t>S2</w:t>
            </w:r>
          </w:p>
        </w:tc>
      </w:tr>
      <w:tr>
        <w:tc>
          <w:tcPr>
            <w:tcW w:type="dxa" w:w="4320"/>
          </w:tcPr>
          <w:p>
            <w:r>
              <w:t>METRUS</w:t>
            </w:r>
          </w:p>
        </w:tc>
        <w:tc>
          <w:tcPr>
            <w:tcW w:type="dxa" w:w="4320"/>
          </w:tcPr>
          <w:p>
            <w:r>
              <w:t>S2</w:t>
            </w:r>
          </w:p>
        </w:tc>
      </w:tr>
      <w:tr>
        <w:tc>
          <w:tcPr>
            <w:tcW w:type="dxa" w:w="4320"/>
          </w:tcPr>
          <w:p>
            <w:r>
              <w:t>MULTIBRA</w:t>
            </w:r>
          </w:p>
        </w:tc>
        <w:tc>
          <w:tcPr>
            <w:tcW w:type="dxa" w:w="4320"/>
          </w:tcPr>
          <w:p>
            <w:r>
              <w:t>S2</w:t>
            </w:r>
          </w:p>
        </w:tc>
      </w:tr>
      <w:tr>
        <w:tc>
          <w:tcPr>
            <w:tcW w:type="dxa" w:w="4320"/>
          </w:tcPr>
          <w:p>
            <w:r>
              <w:t>MULTICOOP</w:t>
            </w:r>
          </w:p>
        </w:tc>
        <w:tc>
          <w:tcPr>
            <w:tcW w:type="dxa" w:w="4320"/>
          </w:tcPr>
          <w:p>
            <w:r>
              <w:t>S2</w:t>
            </w:r>
          </w:p>
        </w:tc>
      </w:tr>
      <w:tr>
        <w:tc>
          <w:tcPr>
            <w:tcW w:type="dxa" w:w="4320"/>
          </w:tcPr>
          <w:p>
            <w:r>
              <w:t>MULTIPENSIONS</w:t>
            </w:r>
          </w:p>
        </w:tc>
        <w:tc>
          <w:tcPr>
            <w:tcW w:type="dxa" w:w="4320"/>
          </w:tcPr>
          <w:p>
            <w:r>
              <w:t>S2</w:t>
            </w:r>
          </w:p>
        </w:tc>
      </w:tr>
      <w:tr>
        <w:tc>
          <w:tcPr>
            <w:tcW w:type="dxa" w:w="4320"/>
          </w:tcPr>
          <w:p>
            <w:r>
              <w:t>MULTIPLA</w:t>
            </w:r>
          </w:p>
        </w:tc>
        <w:tc>
          <w:tcPr>
            <w:tcW w:type="dxa" w:w="4320"/>
          </w:tcPr>
          <w:p>
            <w:r>
              <w:t>S2</w:t>
            </w:r>
          </w:p>
        </w:tc>
      </w:tr>
      <w:tr>
        <w:tc>
          <w:tcPr>
            <w:tcW w:type="dxa" w:w="4320"/>
          </w:tcPr>
          <w:p>
            <w:r>
              <w:t>MULTIPREV</w:t>
            </w:r>
          </w:p>
        </w:tc>
        <w:tc>
          <w:tcPr>
            <w:tcW w:type="dxa" w:w="4320"/>
          </w:tcPr>
          <w:p>
            <w:r>
              <w:t>S2</w:t>
            </w:r>
          </w:p>
        </w:tc>
      </w:tr>
      <w:tr>
        <w:tc>
          <w:tcPr>
            <w:tcW w:type="dxa" w:w="4320"/>
          </w:tcPr>
          <w:p>
            <w:r>
              <w:t>NÉOS</w:t>
            </w:r>
          </w:p>
        </w:tc>
        <w:tc>
          <w:tcPr>
            <w:tcW w:type="dxa" w:w="4320"/>
          </w:tcPr>
          <w:p>
            <w:r>
              <w:t>S2</w:t>
            </w:r>
          </w:p>
        </w:tc>
      </w:tr>
      <w:tr>
        <w:tc>
          <w:tcPr>
            <w:tcW w:type="dxa" w:w="4320"/>
          </w:tcPr>
          <w:p>
            <w:r>
              <w:t>NUCLEOS</w:t>
            </w:r>
          </w:p>
        </w:tc>
        <w:tc>
          <w:tcPr>
            <w:tcW w:type="dxa" w:w="4320"/>
          </w:tcPr>
          <w:p>
            <w:r>
              <w:t>S2</w:t>
            </w:r>
          </w:p>
        </w:tc>
      </w:tr>
      <w:tr>
        <w:tc>
          <w:tcPr>
            <w:tcW w:type="dxa" w:w="4320"/>
          </w:tcPr>
          <w:p>
            <w:r>
              <w:t>PRECE</w:t>
            </w:r>
          </w:p>
        </w:tc>
        <w:tc>
          <w:tcPr>
            <w:tcW w:type="dxa" w:w="4320"/>
          </w:tcPr>
          <w:p>
            <w:r>
              <w:t>S2</w:t>
            </w:r>
          </w:p>
        </w:tc>
      </w:tr>
      <w:tr>
        <w:tc>
          <w:tcPr>
            <w:tcW w:type="dxa" w:w="4320"/>
          </w:tcPr>
          <w:p>
            <w:r>
              <w:t>PREVIBAYER</w:t>
            </w:r>
          </w:p>
        </w:tc>
        <w:tc>
          <w:tcPr>
            <w:tcW w:type="dxa" w:w="4320"/>
          </w:tcPr>
          <w:p>
            <w:r>
              <w:t>S2</w:t>
            </w:r>
          </w:p>
        </w:tc>
      </w:tr>
      <w:tr>
        <w:tc>
          <w:tcPr>
            <w:tcW w:type="dxa" w:w="4320"/>
          </w:tcPr>
          <w:p>
            <w:r>
              <w:t>PREVIDÊNCIA BRB</w:t>
            </w:r>
          </w:p>
        </w:tc>
        <w:tc>
          <w:tcPr>
            <w:tcW w:type="dxa" w:w="4320"/>
          </w:tcPr>
          <w:p>
            <w:r>
              <w:t>S2</w:t>
            </w:r>
          </w:p>
        </w:tc>
      </w:tr>
      <w:tr>
        <w:tc>
          <w:tcPr>
            <w:tcW w:type="dxa" w:w="4320"/>
          </w:tcPr>
          <w:p>
            <w:r>
              <w:t>PREVIDÊNCIA USIMINAS</w:t>
            </w:r>
          </w:p>
        </w:tc>
        <w:tc>
          <w:tcPr>
            <w:tcW w:type="dxa" w:w="4320"/>
          </w:tcPr>
          <w:p>
            <w:r>
              <w:t>S2</w:t>
            </w:r>
          </w:p>
        </w:tc>
      </w:tr>
      <w:tr>
        <w:tc>
          <w:tcPr>
            <w:tcW w:type="dxa" w:w="4320"/>
          </w:tcPr>
          <w:p>
            <w:r>
              <w:t>PREVIG</w:t>
            </w:r>
          </w:p>
        </w:tc>
        <w:tc>
          <w:tcPr>
            <w:tcW w:type="dxa" w:w="4320"/>
          </w:tcPr>
          <w:p>
            <w:r>
              <w:t>S2</w:t>
            </w:r>
          </w:p>
        </w:tc>
      </w:tr>
      <w:tr>
        <w:tc>
          <w:tcPr>
            <w:tcW w:type="dxa" w:w="4320"/>
          </w:tcPr>
          <w:p>
            <w:r>
              <w:t>PREVI-GM</w:t>
            </w:r>
          </w:p>
        </w:tc>
        <w:tc>
          <w:tcPr>
            <w:tcW w:type="dxa" w:w="4320"/>
          </w:tcPr>
          <w:p>
            <w:r>
              <w:t>S2</w:t>
            </w:r>
          </w:p>
        </w:tc>
      </w:tr>
      <w:tr>
        <w:tc>
          <w:tcPr>
            <w:tcW w:type="dxa" w:w="4320"/>
          </w:tcPr>
          <w:p>
            <w:r>
              <w:t>PREVINORTE</w:t>
            </w:r>
          </w:p>
        </w:tc>
        <w:tc>
          <w:tcPr>
            <w:tcW w:type="dxa" w:w="4320"/>
          </w:tcPr>
          <w:p>
            <w:r>
              <w:t>S2</w:t>
            </w:r>
          </w:p>
        </w:tc>
      </w:tr>
      <w:tr>
        <w:tc>
          <w:tcPr>
            <w:tcW w:type="dxa" w:w="4320"/>
          </w:tcPr>
          <w:p>
            <w:r>
              <w:t>PREVISC</w:t>
            </w:r>
          </w:p>
        </w:tc>
        <w:tc>
          <w:tcPr>
            <w:tcW w:type="dxa" w:w="4320"/>
          </w:tcPr>
          <w:p>
            <w:r>
              <w:t>S2</w:t>
            </w:r>
          </w:p>
        </w:tc>
      </w:tr>
      <w:tr>
        <w:tc>
          <w:tcPr>
            <w:tcW w:type="dxa" w:w="4320"/>
          </w:tcPr>
          <w:p>
            <w:r>
              <w:t>QUANTA</w:t>
            </w:r>
          </w:p>
        </w:tc>
        <w:tc>
          <w:tcPr>
            <w:tcW w:type="dxa" w:w="4320"/>
          </w:tcPr>
          <w:p>
            <w:r>
              <w:t>S2</w:t>
            </w:r>
          </w:p>
        </w:tc>
      </w:tr>
      <w:tr>
        <w:tc>
          <w:tcPr>
            <w:tcW w:type="dxa" w:w="4320"/>
          </w:tcPr>
          <w:p>
            <w:r>
              <w:t>REAL GRANDEZA</w:t>
            </w:r>
          </w:p>
        </w:tc>
        <w:tc>
          <w:tcPr>
            <w:tcW w:type="dxa" w:w="4320"/>
          </w:tcPr>
          <w:p>
            <w:r>
              <w:t>S2</w:t>
            </w:r>
          </w:p>
        </w:tc>
      </w:tr>
      <w:tr>
        <w:tc>
          <w:tcPr>
            <w:tcW w:type="dxa" w:w="4320"/>
          </w:tcPr>
          <w:p>
            <w:r>
              <w:t>REFER</w:t>
            </w:r>
          </w:p>
        </w:tc>
        <w:tc>
          <w:tcPr>
            <w:tcW w:type="dxa" w:w="4320"/>
          </w:tcPr>
          <w:p>
            <w:r>
              <w:t>S2</w:t>
            </w:r>
          </w:p>
        </w:tc>
      </w:tr>
      <w:tr>
        <w:tc>
          <w:tcPr>
            <w:tcW w:type="dxa" w:w="4320"/>
          </w:tcPr>
          <w:p>
            <w:r>
              <w:t>SABESPREV</w:t>
            </w:r>
          </w:p>
        </w:tc>
        <w:tc>
          <w:tcPr>
            <w:tcW w:type="dxa" w:w="4320"/>
          </w:tcPr>
          <w:p>
            <w:r>
              <w:t>S2</w:t>
            </w:r>
          </w:p>
        </w:tc>
      </w:tr>
      <w:tr>
        <w:tc>
          <w:tcPr>
            <w:tcW w:type="dxa" w:w="4320"/>
          </w:tcPr>
          <w:p>
            <w:r>
              <w:t>SANTANDERPREVI</w:t>
            </w:r>
          </w:p>
        </w:tc>
        <w:tc>
          <w:tcPr>
            <w:tcW w:type="dxa" w:w="4320"/>
          </w:tcPr>
          <w:p>
            <w:r>
              <w:t>S2</w:t>
            </w:r>
          </w:p>
        </w:tc>
      </w:tr>
      <w:tr>
        <w:tc>
          <w:tcPr>
            <w:tcW w:type="dxa" w:w="4320"/>
          </w:tcPr>
          <w:p>
            <w:r>
              <w:t>SAO BERNARDO</w:t>
            </w:r>
          </w:p>
        </w:tc>
        <w:tc>
          <w:tcPr>
            <w:tcW w:type="dxa" w:w="4320"/>
          </w:tcPr>
          <w:p>
            <w:r>
              <w:t>S2</w:t>
            </w:r>
          </w:p>
        </w:tc>
      </w:tr>
      <w:tr>
        <w:tc>
          <w:tcPr>
            <w:tcW w:type="dxa" w:w="4320"/>
          </w:tcPr>
          <w:p>
            <w:r>
              <w:t>SERPROS</w:t>
            </w:r>
          </w:p>
        </w:tc>
        <w:tc>
          <w:tcPr>
            <w:tcW w:type="dxa" w:w="4320"/>
          </w:tcPr>
          <w:p>
            <w:r>
              <w:t>S2</w:t>
            </w:r>
          </w:p>
        </w:tc>
      </w:tr>
      <w:tr>
        <w:tc>
          <w:tcPr>
            <w:tcW w:type="dxa" w:w="4320"/>
          </w:tcPr>
          <w:p>
            <w:r>
              <w:t>SICOOB PREVI</w:t>
            </w:r>
          </w:p>
        </w:tc>
        <w:tc>
          <w:tcPr>
            <w:tcW w:type="dxa" w:w="4320"/>
          </w:tcPr>
          <w:p>
            <w:r>
              <w:t>S2</w:t>
            </w:r>
          </w:p>
        </w:tc>
      </w:tr>
      <w:tr>
        <w:tc>
          <w:tcPr>
            <w:tcW w:type="dxa" w:w="4320"/>
          </w:tcPr>
          <w:p>
            <w:r>
              <w:t>SISTEL</w:t>
            </w:r>
          </w:p>
        </w:tc>
        <w:tc>
          <w:tcPr>
            <w:tcW w:type="dxa" w:w="4320"/>
          </w:tcPr>
          <w:p>
            <w:r>
              <w:t>S2</w:t>
            </w:r>
          </w:p>
        </w:tc>
      </w:tr>
      <w:tr>
        <w:tc>
          <w:tcPr>
            <w:tcW w:type="dxa" w:w="4320"/>
          </w:tcPr>
          <w:p>
            <w:r>
              <w:t>SP-PREVCOM</w:t>
            </w:r>
          </w:p>
        </w:tc>
        <w:tc>
          <w:tcPr>
            <w:tcW w:type="dxa" w:w="4320"/>
          </w:tcPr>
          <w:p>
            <w:r>
              <w:t>S2</w:t>
            </w:r>
          </w:p>
        </w:tc>
      </w:tr>
      <w:tr>
        <w:tc>
          <w:tcPr>
            <w:tcW w:type="dxa" w:w="4320"/>
          </w:tcPr>
          <w:p>
            <w:r>
              <w:t>TELOS</w:t>
            </w:r>
          </w:p>
        </w:tc>
        <w:tc>
          <w:tcPr>
            <w:tcW w:type="dxa" w:w="4320"/>
          </w:tcPr>
          <w:p>
            <w:r>
              <w:t>S2</w:t>
            </w:r>
          </w:p>
        </w:tc>
      </w:tr>
      <w:tr>
        <w:tc>
          <w:tcPr>
            <w:tcW w:type="dxa" w:w="4320"/>
          </w:tcPr>
          <w:p>
            <w:r>
              <w:t>UNILEVERPREV</w:t>
            </w:r>
          </w:p>
        </w:tc>
        <w:tc>
          <w:tcPr>
            <w:tcW w:type="dxa" w:w="4320"/>
          </w:tcPr>
          <w:p>
            <w:r>
              <w:t>S2</w:t>
            </w:r>
          </w:p>
        </w:tc>
      </w:tr>
      <w:tr>
        <w:tc>
          <w:tcPr>
            <w:tcW w:type="dxa" w:w="4320"/>
          </w:tcPr>
          <w:p>
            <w:r>
              <w:t>VEXTY</w:t>
            </w:r>
          </w:p>
        </w:tc>
        <w:tc>
          <w:tcPr>
            <w:tcW w:type="dxa" w:w="4320"/>
          </w:tcPr>
          <w:p>
            <w:r>
              <w:t>S2</w:t>
            </w:r>
          </w:p>
        </w:tc>
      </w:tr>
      <w:tr>
        <w:tc>
          <w:tcPr>
            <w:tcW w:type="dxa" w:w="4320"/>
          </w:tcPr>
          <w:p>
            <w:r>
              <w:t>VISÃO PREV</w:t>
            </w:r>
          </w:p>
        </w:tc>
        <w:tc>
          <w:tcPr>
            <w:tcW w:type="dxa" w:w="4320"/>
          </w:tcPr>
          <w:p>
            <w:r>
              <w:t>S2</w:t>
            </w:r>
          </w:p>
        </w:tc>
      </w:tr>
      <w:tr>
        <w:tc>
          <w:tcPr>
            <w:tcW w:type="dxa" w:w="4320"/>
          </w:tcPr>
          <w:p>
            <w:r>
              <w:t>VIVA</w:t>
            </w:r>
          </w:p>
        </w:tc>
        <w:tc>
          <w:tcPr>
            <w:tcW w:type="dxa" w:w="4320"/>
          </w:tcPr>
          <w:p>
            <w:r>
              <w:t>S2</w:t>
            </w:r>
          </w:p>
        </w:tc>
      </w:tr>
      <w:tr>
        <w:tc>
          <w:tcPr>
            <w:tcW w:type="dxa" w:w="4320"/>
          </w:tcPr>
          <w:p>
            <w:r>
              <w:t>VWPP</w:t>
            </w:r>
          </w:p>
        </w:tc>
        <w:tc>
          <w:tcPr>
            <w:tcW w:type="dxa" w:w="4320"/>
          </w:tcPr>
          <w:p>
            <w:r>
              <w:t>S2</w:t>
            </w:r>
          </w:p>
        </w:tc>
      </w:tr>
      <w:tr>
        <w:tc>
          <w:tcPr>
            <w:tcW w:type="dxa" w:w="4320"/>
          </w:tcPr>
          <w:p>
            <w:r>
              <w:t>WEG</w:t>
            </w:r>
          </w:p>
        </w:tc>
        <w:tc>
          <w:tcPr>
            <w:tcW w:type="dxa" w:w="4320"/>
          </w:tcPr>
          <w:p>
            <w:r>
              <w:t>S2</w:t>
            </w:r>
          </w:p>
        </w:tc>
      </w:tr>
      <w:tr>
        <w:tc>
          <w:tcPr>
            <w:tcW w:type="dxa" w:w="4320"/>
          </w:tcPr>
          <w:p>
            <w:r>
              <w:t>ACEPREV</w:t>
            </w:r>
          </w:p>
        </w:tc>
        <w:tc>
          <w:tcPr>
            <w:tcW w:type="dxa" w:w="4320"/>
          </w:tcPr>
          <w:p>
            <w:r>
              <w:t>S3</w:t>
            </w:r>
          </w:p>
        </w:tc>
      </w:tr>
      <w:tr>
        <w:tc>
          <w:tcPr>
            <w:tcW w:type="dxa" w:w="4320"/>
          </w:tcPr>
          <w:p>
            <w:r>
              <w:t>AGROS</w:t>
            </w:r>
          </w:p>
        </w:tc>
        <w:tc>
          <w:tcPr>
            <w:tcW w:type="dxa" w:w="4320"/>
          </w:tcPr>
          <w:p>
            <w:r>
              <w:t>S3</w:t>
            </w:r>
          </w:p>
        </w:tc>
      </w:tr>
      <w:tr>
        <w:tc>
          <w:tcPr>
            <w:tcW w:type="dxa" w:w="4320"/>
          </w:tcPr>
          <w:p>
            <w:r>
              <w:t>ALCOA PREVI</w:t>
            </w:r>
          </w:p>
        </w:tc>
        <w:tc>
          <w:tcPr>
            <w:tcW w:type="dxa" w:w="4320"/>
          </w:tcPr>
          <w:p>
            <w:r>
              <w:t>S3</w:t>
            </w:r>
          </w:p>
        </w:tc>
      </w:tr>
      <w:tr>
        <w:tc>
          <w:tcPr>
            <w:tcW w:type="dxa" w:w="4320"/>
          </w:tcPr>
          <w:p>
            <w:r>
              <w:t>ALPAPREV</w:t>
            </w:r>
          </w:p>
        </w:tc>
        <w:tc>
          <w:tcPr>
            <w:tcW w:type="dxa" w:w="4320"/>
          </w:tcPr>
          <w:p>
            <w:r>
              <w:t>S3</w:t>
            </w:r>
          </w:p>
        </w:tc>
      </w:tr>
      <w:tr>
        <w:tc>
          <w:tcPr>
            <w:tcW w:type="dxa" w:w="4320"/>
          </w:tcPr>
          <w:p>
            <w:r>
              <w:t>AVONPREV</w:t>
            </w:r>
          </w:p>
        </w:tc>
        <w:tc>
          <w:tcPr>
            <w:tcW w:type="dxa" w:w="4320"/>
          </w:tcPr>
          <w:p>
            <w:r>
              <w:t>S3</w:t>
            </w:r>
          </w:p>
        </w:tc>
      </w:tr>
      <w:tr>
        <w:tc>
          <w:tcPr>
            <w:tcW w:type="dxa" w:w="4320"/>
          </w:tcPr>
          <w:p>
            <w:r>
              <w:t>BANDEPREV</w:t>
            </w:r>
          </w:p>
        </w:tc>
        <w:tc>
          <w:tcPr>
            <w:tcW w:type="dxa" w:w="4320"/>
          </w:tcPr>
          <w:p>
            <w:r>
              <w:t>S3</w:t>
            </w:r>
          </w:p>
        </w:tc>
      </w:tr>
      <w:tr>
        <w:tc>
          <w:tcPr>
            <w:tcW w:type="dxa" w:w="4320"/>
          </w:tcPr>
          <w:p>
            <w:r>
              <w:t>BANESES</w:t>
            </w:r>
          </w:p>
        </w:tc>
        <w:tc>
          <w:tcPr>
            <w:tcW w:type="dxa" w:w="4320"/>
          </w:tcPr>
          <w:p>
            <w:r>
              <w:t>S3</w:t>
            </w:r>
          </w:p>
        </w:tc>
      </w:tr>
      <w:tr>
        <w:tc>
          <w:tcPr>
            <w:tcW w:type="dxa" w:w="4320"/>
          </w:tcPr>
          <w:p>
            <w:r>
              <w:t>BASES</w:t>
            </w:r>
          </w:p>
        </w:tc>
        <w:tc>
          <w:tcPr>
            <w:tcW w:type="dxa" w:w="4320"/>
          </w:tcPr>
          <w:p>
            <w:r>
              <w:t>S3</w:t>
            </w:r>
          </w:p>
        </w:tc>
      </w:tr>
      <w:tr>
        <w:tc>
          <w:tcPr>
            <w:tcW w:type="dxa" w:w="4320"/>
          </w:tcPr>
          <w:p>
            <w:r>
              <w:t>BASF PC</w:t>
            </w:r>
          </w:p>
        </w:tc>
        <w:tc>
          <w:tcPr>
            <w:tcW w:type="dxa" w:w="4320"/>
          </w:tcPr>
          <w:p>
            <w:r>
              <w:t>S3</w:t>
            </w:r>
          </w:p>
        </w:tc>
      </w:tr>
      <w:tr>
        <w:tc>
          <w:tcPr>
            <w:tcW w:type="dxa" w:w="4320"/>
          </w:tcPr>
          <w:p>
            <w:r>
              <w:t>BOTICARIO PREV</w:t>
            </w:r>
          </w:p>
        </w:tc>
        <w:tc>
          <w:tcPr>
            <w:tcW w:type="dxa" w:w="4320"/>
          </w:tcPr>
          <w:p>
            <w:r>
              <w:t>S3</w:t>
            </w:r>
          </w:p>
        </w:tc>
      </w:tr>
      <w:tr>
        <w:tc>
          <w:tcPr>
            <w:tcW w:type="dxa" w:w="4320"/>
          </w:tcPr>
          <w:p>
            <w:r>
              <w:t>BRASILETROS</w:t>
            </w:r>
          </w:p>
        </w:tc>
        <w:tc>
          <w:tcPr>
            <w:tcW w:type="dxa" w:w="4320"/>
          </w:tcPr>
          <w:p>
            <w:r>
              <w:t>S3</w:t>
            </w:r>
          </w:p>
        </w:tc>
      </w:tr>
      <w:tr>
        <w:tc>
          <w:tcPr>
            <w:tcW w:type="dxa" w:w="4320"/>
          </w:tcPr>
          <w:p>
            <w:r>
              <w:t>BUNGEPREV</w:t>
            </w:r>
          </w:p>
        </w:tc>
        <w:tc>
          <w:tcPr>
            <w:tcW w:type="dxa" w:w="4320"/>
          </w:tcPr>
          <w:p>
            <w:r>
              <w:t>S3</w:t>
            </w:r>
          </w:p>
        </w:tc>
      </w:tr>
      <w:tr>
        <w:tc>
          <w:tcPr>
            <w:tcW w:type="dxa" w:w="4320"/>
          </w:tcPr>
          <w:p>
            <w:r>
              <w:t>CAPESESP</w:t>
            </w:r>
          </w:p>
        </w:tc>
        <w:tc>
          <w:tcPr>
            <w:tcW w:type="dxa" w:w="4320"/>
          </w:tcPr>
          <w:p>
            <w:r>
              <w:t>S3</w:t>
            </w:r>
          </w:p>
        </w:tc>
      </w:tr>
      <w:tr>
        <w:tc>
          <w:tcPr>
            <w:tcW w:type="dxa" w:w="4320"/>
          </w:tcPr>
          <w:p>
            <w:r>
              <w:t>CARGILLPREV</w:t>
            </w:r>
          </w:p>
        </w:tc>
        <w:tc>
          <w:tcPr>
            <w:tcW w:type="dxa" w:w="4320"/>
          </w:tcPr>
          <w:p>
            <w:r>
              <w:t>S3</w:t>
            </w:r>
          </w:p>
        </w:tc>
      </w:tr>
      <w:tr>
        <w:tc>
          <w:tcPr>
            <w:tcW w:type="dxa" w:w="4320"/>
          </w:tcPr>
          <w:p>
            <w:r>
              <w:t>CARREFOURPREV</w:t>
            </w:r>
          </w:p>
        </w:tc>
        <w:tc>
          <w:tcPr>
            <w:tcW w:type="dxa" w:w="4320"/>
          </w:tcPr>
          <w:p>
            <w:r>
              <w:t>S3</w:t>
            </w:r>
          </w:p>
        </w:tc>
      </w:tr>
      <w:tr>
        <w:tc>
          <w:tcPr>
            <w:tcW w:type="dxa" w:w="4320"/>
          </w:tcPr>
          <w:p>
            <w:r>
              <w:t>CASFAM</w:t>
            </w:r>
          </w:p>
        </w:tc>
        <w:tc>
          <w:tcPr>
            <w:tcW w:type="dxa" w:w="4320"/>
          </w:tcPr>
          <w:p>
            <w:r>
              <w:t>S3</w:t>
            </w:r>
          </w:p>
        </w:tc>
      </w:tr>
      <w:tr>
        <w:tc>
          <w:tcPr>
            <w:tcW w:type="dxa" w:w="4320"/>
          </w:tcPr>
          <w:p>
            <w:r>
              <w:t>COMPESAPREV</w:t>
            </w:r>
          </w:p>
        </w:tc>
        <w:tc>
          <w:tcPr>
            <w:tcW w:type="dxa" w:w="4320"/>
          </w:tcPr>
          <w:p>
            <w:r>
              <w:t>S3</w:t>
            </w:r>
          </w:p>
        </w:tc>
      </w:tr>
      <w:tr>
        <w:tc>
          <w:tcPr>
            <w:tcW w:type="dxa" w:w="4320"/>
          </w:tcPr>
          <w:p>
            <w:r>
              <w:t>COMSHELL</w:t>
            </w:r>
          </w:p>
        </w:tc>
        <w:tc>
          <w:tcPr>
            <w:tcW w:type="dxa" w:w="4320"/>
          </w:tcPr>
          <w:p>
            <w:r>
              <w:t>S3</w:t>
            </w:r>
          </w:p>
        </w:tc>
      </w:tr>
      <w:tr>
        <w:tc>
          <w:tcPr>
            <w:tcW w:type="dxa" w:w="4320"/>
          </w:tcPr>
          <w:p>
            <w:r>
              <w:t>CP PREV</w:t>
            </w:r>
          </w:p>
        </w:tc>
        <w:tc>
          <w:tcPr>
            <w:tcW w:type="dxa" w:w="4320"/>
          </w:tcPr>
          <w:p>
            <w:r>
              <w:t>S3</w:t>
            </w:r>
          </w:p>
        </w:tc>
      </w:tr>
      <w:tr>
        <w:tc>
          <w:tcPr>
            <w:tcW w:type="dxa" w:w="4320"/>
          </w:tcPr>
          <w:p>
            <w:r>
              <w:t>CYAMPREV</w:t>
            </w:r>
          </w:p>
        </w:tc>
        <w:tc>
          <w:tcPr>
            <w:tcW w:type="dxa" w:w="4320"/>
          </w:tcPr>
          <w:p>
            <w:r>
              <w:t>S3</w:t>
            </w:r>
          </w:p>
        </w:tc>
      </w:tr>
      <w:tr>
        <w:tc>
          <w:tcPr>
            <w:tcW w:type="dxa" w:w="4320"/>
          </w:tcPr>
          <w:p>
            <w:r>
              <w:t>DESBAN</w:t>
            </w:r>
          </w:p>
        </w:tc>
        <w:tc>
          <w:tcPr>
            <w:tcW w:type="dxa" w:w="4320"/>
          </w:tcPr>
          <w:p>
            <w:r>
              <w:t>S3</w:t>
            </w:r>
          </w:p>
        </w:tc>
      </w:tr>
      <w:tr>
        <w:tc>
          <w:tcPr>
            <w:tcW w:type="dxa" w:w="4320"/>
          </w:tcPr>
          <w:p>
            <w:r>
              <w:t>ECOS</w:t>
            </w:r>
          </w:p>
        </w:tc>
        <w:tc>
          <w:tcPr>
            <w:tcW w:type="dxa" w:w="4320"/>
          </w:tcPr>
          <w:p>
            <w:r>
              <w:t>S3</w:t>
            </w:r>
          </w:p>
        </w:tc>
      </w:tr>
      <w:tr>
        <w:tc>
          <w:tcPr>
            <w:tcW w:type="dxa" w:w="4320"/>
          </w:tcPr>
          <w:p>
            <w:r>
              <w:t>E-INVEST</w:t>
            </w:r>
          </w:p>
        </w:tc>
        <w:tc>
          <w:tcPr>
            <w:tcW w:type="dxa" w:w="4320"/>
          </w:tcPr>
          <w:p>
            <w:r>
              <w:t>S3</w:t>
            </w:r>
          </w:p>
        </w:tc>
      </w:tr>
      <w:tr>
        <w:tc>
          <w:tcPr>
            <w:tcW w:type="dxa" w:w="4320"/>
          </w:tcPr>
          <w:p>
            <w:r>
              <w:t>ENERPREV</w:t>
            </w:r>
          </w:p>
        </w:tc>
        <w:tc>
          <w:tcPr>
            <w:tcW w:type="dxa" w:w="4320"/>
          </w:tcPr>
          <w:p>
            <w:r>
              <w:t>S3</w:t>
            </w:r>
          </w:p>
        </w:tc>
      </w:tr>
      <w:tr>
        <w:tc>
          <w:tcPr>
            <w:tcW w:type="dxa" w:w="4320"/>
          </w:tcPr>
          <w:p>
            <w:r>
              <w:t>FABASA</w:t>
            </w:r>
          </w:p>
        </w:tc>
        <w:tc>
          <w:tcPr>
            <w:tcW w:type="dxa" w:w="4320"/>
          </w:tcPr>
          <w:p>
            <w:r>
              <w:t>S3</w:t>
            </w:r>
          </w:p>
        </w:tc>
      </w:tr>
      <w:tr>
        <w:tc>
          <w:tcPr>
            <w:tcW w:type="dxa" w:w="4320"/>
          </w:tcPr>
          <w:p>
            <w:r>
              <w:t>FAELCE</w:t>
            </w:r>
          </w:p>
        </w:tc>
        <w:tc>
          <w:tcPr>
            <w:tcW w:type="dxa" w:w="4320"/>
          </w:tcPr>
          <w:p>
            <w:r>
              <w:t>S3</w:t>
            </w:r>
          </w:p>
        </w:tc>
      </w:tr>
    </w:tbl>
    <w:p/>
    <w:p>
      <w:r>
        <w:t>Sigla EFPC</w:t>
      </w:r>
    </w:p>
    <w:p>
      <w:r>
        <w:t>Segmento</w:t>
      </w:r>
    </w:p>
    <w:p>
      <w:r>
        <w:t>BANESPREV</w:t>
      </w:r>
    </w:p>
    <w:p>
      <w:r>
        <w:t>S1</w:t>
      </w:r>
    </w:p>
    <w:p>
      <w:r>
        <w:t>FORLUZ</w:t>
      </w:r>
    </w:p>
    <w:p>
      <w:r>
        <w:t>S1</w:t>
      </w:r>
    </w:p>
    <w:p>
      <w:r>
        <w:t>FUNCEF</w:t>
      </w:r>
    </w:p>
    <w:p>
      <w:r>
        <w:t>S1</w:t>
      </w:r>
    </w:p>
    <w:p>
      <w:r>
        <w:t>FUNCESP (VIVEST)</w:t>
      </w:r>
    </w:p>
    <w:p>
      <w:r>
        <w:t>S1</w:t>
      </w:r>
    </w:p>
    <w:p>
      <w:r>
        <w:t>ITAU UNIBANCO</w:t>
      </w:r>
    </w:p>
    <w:p>
      <w:r>
        <w:t>S1</w:t>
      </w:r>
    </w:p>
    <w:p>
      <w:r>
        <w:t>PETROS</w:t>
      </w:r>
    </w:p>
    <w:p>
      <w:r>
        <w:t>S1</w:t>
      </w:r>
    </w:p>
    <w:p>
      <w:r>
        <w:t>POSTALIS</w:t>
      </w:r>
    </w:p>
    <w:p>
      <w:r>
        <w:t>S1</w:t>
      </w:r>
    </w:p>
    <w:p>
      <w:r>
        <w:t>PREVI/BB</w:t>
      </w:r>
    </w:p>
    <w:p>
      <w:r>
        <w:t>S1</w:t>
      </w:r>
    </w:p>
    <w:p>
      <w:r>
        <w:t>VALIA</w:t>
      </w:r>
    </w:p>
    <w:p>
      <w:r>
        <w:t>S1</w:t>
      </w:r>
    </w:p>
    <w:p>
      <w:r>
        <w:t>BANRISUL/FBSS</w:t>
      </w:r>
    </w:p>
    <w:p>
      <w:r>
        <w:t>S2</w:t>
      </w:r>
    </w:p>
    <w:p>
      <w:r>
        <w:t>BB PREVIDENCIA</w:t>
      </w:r>
    </w:p>
    <w:p>
      <w:r>
        <w:t>S2</w:t>
      </w:r>
    </w:p>
    <w:p>
      <w:r>
        <w:t>BRASLIGHT</w:t>
      </w:r>
    </w:p>
    <w:p>
      <w:r>
        <w:t>S2</w:t>
      </w:r>
    </w:p>
    <w:p>
      <w:r>
        <w:t>BRF PREVIDÊNCIA</w:t>
      </w:r>
    </w:p>
    <w:p>
      <w:r>
        <w:t>S2</w:t>
      </w:r>
    </w:p>
    <w:p>
      <w:r>
        <w:t>CAPEF</w:t>
      </w:r>
    </w:p>
    <w:p>
      <w:r>
        <w:t>S2</w:t>
      </w:r>
    </w:p>
    <w:p>
      <w:r>
        <w:t>CBS</w:t>
      </w:r>
    </w:p>
    <w:p>
      <w:r>
        <w:t>S2</w:t>
      </w:r>
    </w:p>
    <w:p>
      <w:r>
        <w:t>CELOS</w:t>
      </w:r>
    </w:p>
    <w:p>
      <w:r>
        <w:t>S2</w:t>
      </w:r>
    </w:p>
    <w:p>
      <w:r>
        <w:t>CENTRUS</w:t>
      </w:r>
    </w:p>
    <w:p>
      <w:r>
        <w:t>S2</w:t>
      </w:r>
    </w:p>
    <w:p>
      <w:r>
        <w:t>CERES</w:t>
      </w:r>
    </w:p>
    <w:p>
      <w:r>
        <w:t>S2</w:t>
      </w:r>
    </w:p>
    <w:p>
      <w:r>
        <w:t>CIBRIUS</w:t>
      </w:r>
    </w:p>
    <w:p>
      <w:r>
        <w:t>S2</w:t>
      </w:r>
    </w:p>
    <w:p>
      <w:r>
        <w:t>CITIPREVI</w:t>
      </w:r>
    </w:p>
    <w:p>
      <w:r>
        <w:t>S2</w:t>
      </w:r>
    </w:p>
    <w:p>
      <w:r>
        <w:t>ECONOMUS</w:t>
      </w:r>
    </w:p>
    <w:p>
      <w:r>
        <w:t>S2</w:t>
      </w:r>
    </w:p>
    <w:p>
      <w:r>
        <w:t>ELETROS</w:t>
      </w:r>
    </w:p>
    <w:p>
      <w:r>
        <w:t>S2</w:t>
      </w:r>
    </w:p>
    <w:p>
      <w:r>
        <w:t>ELOS</w:t>
      </w:r>
    </w:p>
    <w:p>
      <w:r>
        <w:t>S2</w:t>
      </w:r>
    </w:p>
    <w:p>
      <w:r>
        <w:t>EMBRAER PREV</w:t>
      </w:r>
    </w:p>
    <w:p>
      <w:r>
        <w:t>S2</w:t>
      </w:r>
    </w:p>
    <w:p>
      <w:r>
        <w:t>ENERGISAPREV</w:t>
      </w:r>
    </w:p>
    <w:p>
      <w:r>
        <w:t>S2</w:t>
      </w:r>
    </w:p>
    <w:p>
      <w:r>
        <w:t>EQTPREV</w:t>
      </w:r>
    </w:p>
    <w:p>
      <w:r>
        <w:t>S2</w:t>
      </w:r>
    </w:p>
    <w:p>
      <w:r>
        <w:t>FACHESF</w:t>
      </w:r>
    </w:p>
    <w:p>
      <w:r>
        <w:t>S2</w:t>
      </w:r>
    </w:p>
    <w:p>
      <w:r>
        <w:t>FAMILIA PREVIDENCIA</w:t>
      </w:r>
    </w:p>
    <w:p>
      <w:r>
        <w:t>S2</w:t>
      </w:r>
    </w:p>
    <w:p>
      <w:r>
        <w:t>FAPES</w:t>
      </w:r>
    </w:p>
    <w:p>
      <w:r>
        <w:t>S2</w:t>
      </w:r>
    </w:p>
    <w:p>
      <w:r>
        <w:t>FATL</w:t>
      </w:r>
    </w:p>
    <w:p>
      <w:r>
        <w:t>S2</w:t>
      </w:r>
    </w:p>
    <w:p>
      <w:r>
        <w:t>FIBRA</w:t>
      </w:r>
    </w:p>
    <w:p>
      <w:r>
        <w:t>S2</w:t>
      </w:r>
    </w:p>
    <w:p>
      <w:r>
        <w:t>FUNBEP</w:t>
      </w:r>
    </w:p>
    <w:p>
      <w:r>
        <w:t>S2</w:t>
      </w:r>
    </w:p>
    <w:p>
      <w:r>
        <w:t>FUNDACAO COPEL</w:t>
      </w:r>
    </w:p>
    <w:p>
      <w:r>
        <w:t>S2</w:t>
      </w:r>
    </w:p>
    <w:p>
      <w:r>
        <w:t>FUNDAÇÃO LIBERTAS</w:t>
      </w:r>
    </w:p>
    <w:p>
      <w:r>
        <w:t>S2</w:t>
      </w:r>
    </w:p>
    <w:p>
      <w:r>
        <w:t>FUNEPP</w:t>
      </w:r>
    </w:p>
    <w:p>
      <w:r>
        <w:t>S2</w:t>
      </w:r>
    </w:p>
    <w:p>
      <w:r>
        <w:t>FUNPRESP-EXE</w:t>
      </w:r>
    </w:p>
    <w:p>
      <w:r>
        <w:t>S2</w:t>
      </w:r>
    </w:p>
    <w:p>
      <w:r>
        <w:t>FUNPRESP-JUD</w:t>
      </w:r>
    </w:p>
    <w:p>
      <w:r>
        <w:t>S2</w:t>
      </w:r>
    </w:p>
    <w:p>
      <w:r>
        <w:t>FUNSSEST</w:t>
      </w:r>
    </w:p>
    <w:p>
      <w:r>
        <w:t>S2</w:t>
      </w:r>
    </w:p>
    <w:p>
      <w:r>
        <w:t>FUSAN</w:t>
      </w:r>
    </w:p>
    <w:p>
      <w:r>
        <w:t>S2</w:t>
      </w:r>
    </w:p>
    <w:p>
      <w:r>
        <w:t>FUSESC</w:t>
      </w:r>
    </w:p>
    <w:p>
      <w:r>
        <w:t>S2</w:t>
      </w:r>
    </w:p>
    <w:p>
      <w:r>
        <w:t>GEBSA-PREV</w:t>
      </w:r>
    </w:p>
    <w:p>
      <w:r>
        <w:t>S2</w:t>
      </w:r>
    </w:p>
    <w:p>
      <w:r>
        <w:t>GERDAU</w:t>
      </w:r>
    </w:p>
    <w:p>
      <w:r>
        <w:t>S2</w:t>
      </w:r>
    </w:p>
    <w:p>
      <w:r>
        <w:t>IBM</w:t>
      </w:r>
    </w:p>
    <w:p>
      <w:r>
        <w:t>S2</w:t>
      </w:r>
    </w:p>
    <w:p>
      <w:r>
        <w:t>ICATUFMP</w:t>
      </w:r>
    </w:p>
    <w:p>
      <w:r>
        <w:t>S2</w:t>
      </w:r>
    </w:p>
    <w:p>
      <w:r>
        <w:t>IFM</w:t>
      </w:r>
    </w:p>
    <w:p>
      <w:r>
        <w:t>S2</w:t>
      </w:r>
    </w:p>
    <w:p>
      <w:r>
        <w:t>INFRAPREV</w:t>
      </w:r>
    </w:p>
    <w:p>
      <w:r>
        <w:t>S2</w:t>
      </w:r>
    </w:p>
    <w:p>
      <w:r>
        <w:t>INSTITUTO AMBEV</w:t>
      </w:r>
    </w:p>
    <w:p>
      <w:r>
        <w:t>S2</w:t>
      </w:r>
    </w:p>
    <w:p>
      <w:r>
        <w:t>ITAUSAINDL</w:t>
      </w:r>
    </w:p>
    <w:p>
      <w:r>
        <w:t>S2</w:t>
      </w:r>
    </w:p>
    <w:p>
      <w:r>
        <w:t>METRUS</w:t>
      </w:r>
    </w:p>
    <w:p>
      <w:r>
        <w:t>S2</w:t>
      </w:r>
    </w:p>
    <w:p>
      <w:r>
        <w:t>MULTIBRA</w:t>
      </w:r>
    </w:p>
    <w:p>
      <w:r>
        <w:t>S2</w:t>
      </w:r>
    </w:p>
    <w:p>
      <w:r>
        <w:t>MULTICOOP</w:t>
      </w:r>
    </w:p>
    <w:p>
      <w:r>
        <w:t>S2</w:t>
      </w:r>
    </w:p>
    <w:p>
      <w:r>
        <w:t>MULTIPENSIONS</w:t>
      </w:r>
    </w:p>
    <w:p>
      <w:r>
        <w:t>S2</w:t>
      </w:r>
    </w:p>
    <w:p>
      <w:r>
        <w:t>MULTIPLA</w:t>
      </w:r>
    </w:p>
    <w:p>
      <w:r>
        <w:t>S2</w:t>
      </w:r>
    </w:p>
    <w:p>
      <w:r>
        <w:t>MULTIPREV</w:t>
      </w:r>
    </w:p>
    <w:p>
      <w:r>
        <w:t>S2</w:t>
      </w:r>
    </w:p>
    <w:p>
      <w:r>
        <w:t>NÉOS</w:t>
      </w:r>
    </w:p>
    <w:p>
      <w:r>
        <w:t>S2</w:t>
      </w:r>
    </w:p>
    <w:p>
      <w:r>
        <w:t>NUCLEOS</w:t>
      </w:r>
    </w:p>
    <w:p>
      <w:r>
        <w:t>S2</w:t>
      </w:r>
    </w:p>
    <w:p>
      <w:r>
        <w:t>PRECE</w:t>
      </w:r>
    </w:p>
    <w:p>
      <w:r>
        <w:t>S2</w:t>
      </w:r>
    </w:p>
    <w:p>
      <w:r>
        <w:t>PREVIBAYER</w:t>
      </w:r>
    </w:p>
    <w:p>
      <w:r>
        <w:t>S2</w:t>
      </w:r>
    </w:p>
    <w:p>
      <w:r>
        <w:t>PREVIDÊNCIA BRB</w:t>
      </w:r>
    </w:p>
    <w:p>
      <w:r>
        <w:t>S2</w:t>
      </w:r>
    </w:p>
    <w:p>
      <w:r>
        <w:t>PREVIDÊNCIA USIMINAS</w:t>
      </w:r>
    </w:p>
    <w:p>
      <w:r>
        <w:t>S2</w:t>
      </w:r>
    </w:p>
    <w:p>
      <w:r>
        <w:t>PREVIG</w:t>
      </w:r>
    </w:p>
    <w:p>
      <w:r>
        <w:t>S2</w:t>
      </w:r>
    </w:p>
    <w:p>
      <w:r>
        <w:t>PREVI-GM</w:t>
      </w:r>
    </w:p>
    <w:p>
      <w:r>
        <w:t>S2</w:t>
      </w:r>
    </w:p>
    <w:p>
      <w:r>
        <w:t>PREVINORTE</w:t>
      </w:r>
    </w:p>
    <w:p>
      <w:r>
        <w:t>S2</w:t>
      </w:r>
    </w:p>
    <w:p>
      <w:r>
        <w:t>PREVISC</w:t>
      </w:r>
    </w:p>
    <w:p>
      <w:r>
        <w:t>S2</w:t>
      </w:r>
    </w:p>
    <w:p>
      <w:r>
        <w:t>QUANTA</w:t>
      </w:r>
    </w:p>
    <w:p>
      <w:r>
        <w:t>S2</w:t>
      </w:r>
    </w:p>
    <w:p>
      <w:r>
        <w:t>REAL GRANDEZA</w:t>
      </w:r>
    </w:p>
    <w:p>
      <w:r>
        <w:t>S2</w:t>
      </w:r>
    </w:p>
    <w:p>
      <w:r>
        <w:t>REFER</w:t>
      </w:r>
    </w:p>
    <w:p>
      <w:r>
        <w:t>S2</w:t>
      </w:r>
    </w:p>
    <w:p>
      <w:r>
        <w:t>SABESPREV</w:t>
      </w:r>
    </w:p>
    <w:p>
      <w:r>
        <w:t>S2</w:t>
      </w:r>
    </w:p>
    <w:p>
      <w:r>
        <w:t>SANTANDERPREVI</w:t>
      </w:r>
    </w:p>
    <w:p>
      <w:r>
        <w:t>S2</w:t>
      </w:r>
    </w:p>
    <w:p>
      <w:r>
        <w:t>SAO BERNARDO</w:t>
      </w:r>
    </w:p>
    <w:p>
      <w:r>
        <w:t>S2</w:t>
      </w:r>
    </w:p>
    <w:p>
      <w:r>
        <w:t>SERPROS</w:t>
      </w:r>
    </w:p>
    <w:p>
      <w:r>
        <w:t>S2</w:t>
      </w:r>
    </w:p>
    <w:p>
      <w:r>
        <w:t>SICOOB PREVI</w:t>
      </w:r>
    </w:p>
    <w:p>
      <w:r>
        <w:t>S2</w:t>
      </w:r>
    </w:p>
    <w:p>
      <w:r>
        <w:t>SISTEL</w:t>
      </w:r>
    </w:p>
    <w:p>
      <w:r>
        <w:t>S2</w:t>
      </w:r>
    </w:p>
    <w:p>
      <w:r>
        <w:t>SP-PREVCOM</w:t>
      </w:r>
    </w:p>
    <w:p>
      <w:r>
        <w:t>S2</w:t>
      </w:r>
    </w:p>
    <w:p>
      <w:r>
        <w:t>TELOS</w:t>
      </w:r>
    </w:p>
    <w:p>
      <w:r>
        <w:t>S2</w:t>
      </w:r>
    </w:p>
    <w:p>
      <w:r>
        <w:t>UNILEVERPREV</w:t>
      </w:r>
    </w:p>
    <w:p>
      <w:r>
        <w:t>S2</w:t>
      </w:r>
    </w:p>
    <w:p>
      <w:r>
        <w:t>VEXTY</w:t>
      </w:r>
    </w:p>
    <w:p>
      <w:r>
        <w:t>S2</w:t>
      </w:r>
    </w:p>
    <w:p>
      <w:r>
        <w:t>VISÃO PREV</w:t>
      </w:r>
    </w:p>
    <w:p>
      <w:r>
        <w:t>S2</w:t>
      </w:r>
    </w:p>
    <w:p>
      <w:r>
        <w:t>VIVA</w:t>
      </w:r>
    </w:p>
    <w:p>
      <w:r>
        <w:t>S2</w:t>
      </w:r>
    </w:p>
    <w:p>
      <w:r>
        <w:t>VWPP</w:t>
      </w:r>
    </w:p>
    <w:p>
      <w:r>
        <w:t>S2</w:t>
      </w:r>
    </w:p>
    <w:p>
      <w:r>
        <w:t>WEG</w:t>
      </w:r>
    </w:p>
    <w:p>
      <w:r>
        <w:t>S2</w:t>
      </w:r>
    </w:p>
    <w:p>
      <w:r>
        <w:t>ACEPREV</w:t>
      </w:r>
    </w:p>
    <w:p>
      <w:r>
        <w:t>S3</w:t>
      </w:r>
    </w:p>
    <w:p>
      <w:r>
        <w:t>AGROS</w:t>
      </w:r>
    </w:p>
    <w:p>
      <w:r>
        <w:t>S3</w:t>
      </w:r>
    </w:p>
    <w:p>
      <w:r>
        <w:t>ALCOA PREVI</w:t>
      </w:r>
    </w:p>
    <w:p>
      <w:r>
        <w:t>S3</w:t>
      </w:r>
    </w:p>
    <w:p>
      <w:r>
        <w:t>ALPAPREV</w:t>
      </w:r>
    </w:p>
    <w:p>
      <w:r>
        <w:t>S3</w:t>
      </w:r>
    </w:p>
    <w:p>
      <w:r>
        <w:t>AVONPREV</w:t>
      </w:r>
    </w:p>
    <w:p>
      <w:r>
        <w:t>S3</w:t>
      </w:r>
    </w:p>
    <w:p>
      <w:r>
        <w:t>BANDEPREV</w:t>
      </w:r>
    </w:p>
    <w:p>
      <w:r>
        <w:t>S3</w:t>
      </w:r>
    </w:p>
    <w:p>
      <w:r>
        <w:t>BANESES</w:t>
      </w:r>
    </w:p>
    <w:p>
      <w:r>
        <w:t>S3</w:t>
      </w:r>
    </w:p>
    <w:p>
      <w:r>
        <w:t>BASES</w:t>
      </w:r>
    </w:p>
    <w:p>
      <w:r>
        <w:t>S3</w:t>
      </w:r>
    </w:p>
    <w:p>
      <w:r>
        <w:t>BASF PC</w:t>
      </w:r>
    </w:p>
    <w:p>
      <w:r>
        <w:t>S3</w:t>
      </w:r>
    </w:p>
    <w:p>
      <w:r>
        <w:t>BOTICARIO PREV</w:t>
      </w:r>
    </w:p>
    <w:p>
      <w:r>
        <w:t>S3</w:t>
      </w:r>
    </w:p>
    <w:p>
      <w:r>
        <w:t>BRASILETROS</w:t>
      </w:r>
    </w:p>
    <w:p>
      <w:r>
        <w:t>S3</w:t>
      </w:r>
    </w:p>
    <w:p>
      <w:r>
        <w:t>BUNGEPREV</w:t>
      </w:r>
    </w:p>
    <w:p>
      <w:r>
        <w:t>S3</w:t>
      </w:r>
    </w:p>
    <w:p>
      <w:r>
        <w:t>CAPESESP</w:t>
      </w:r>
    </w:p>
    <w:p>
      <w:r>
        <w:t>S3</w:t>
      </w:r>
    </w:p>
    <w:p>
      <w:r>
        <w:t>CARGILLPREV</w:t>
      </w:r>
    </w:p>
    <w:p>
      <w:r>
        <w:t>S3</w:t>
      </w:r>
    </w:p>
    <w:p>
      <w:r>
        <w:t>CARREFOURPREV</w:t>
      </w:r>
    </w:p>
    <w:p>
      <w:r>
        <w:t>S3</w:t>
      </w:r>
    </w:p>
    <w:p>
      <w:r>
        <w:t>CASFAM</w:t>
      </w:r>
    </w:p>
    <w:p>
      <w:r>
        <w:t>S3</w:t>
      </w:r>
    </w:p>
    <w:p>
      <w:r>
        <w:t>COMPESAPREV</w:t>
      </w:r>
    </w:p>
    <w:p>
      <w:r>
        <w:t>S3</w:t>
      </w:r>
    </w:p>
    <w:p>
      <w:r>
        <w:t>COMSHELL</w:t>
      </w:r>
    </w:p>
    <w:p>
      <w:r>
        <w:t>S3</w:t>
      </w:r>
    </w:p>
    <w:p>
      <w:r>
        <w:t>CP PREV</w:t>
      </w:r>
    </w:p>
    <w:p>
      <w:r>
        <w:t>S3</w:t>
      </w:r>
    </w:p>
    <w:p>
      <w:r>
        <w:t>CYAMPREV</w:t>
      </w:r>
    </w:p>
    <w:p>
      <w:r>
        <w:t>S3</w:t>
      </w:r>
    </w:p>
    <w:p>
      <w:r>
        <w:t>DESBAN</w:t>
      </w:r>
    </w:p>
    <w:p>
      <w:r>
        <w:t>S3</w:t>
      </w:r>
    </w:p>
    <w:p>
      <w:r>
        <w:t>ECOS</w:t>
      </w:r>
    </w:p>
    <w:p>
      <w:r>
        <w:t>S3</w:t>
      </w:r>
    </w:p>
    <w:p>
      <w:r>
        <w:t>E-INVEST</w:t>
      </w:r>
    </w:p>
    <w:p>
      <w:r>
        <w:t>S3</w:t>
      </w:r>
    </w:p>
    <w:p>
      <w:r>
        <w:t>ENERPREV</w:t>
      </w:r>
    </w:p>
    <w:p>
      <w:r>
        <w:t>S3</w:t>
      </w:r>
    </w:p>
    <w:p>
      <w:r>
        <w:t>FABASA</w:t>
      </w:r>
    </w:p>
    <w:p>
      <w:r>
        <w:t>S3</w:t>
      </w:r>
    </w:p>
    <w:p>
      <w:r>
        <w:t>FAELCE</w:t>
      </w:r>
    </w:p>
    <w:p>
      <w:r>
        <w:t>S3</w:t>
      </w:r>
    </w:p>
    <w:tbl>
      <w:tblPr>
        <w:tblW w:type="auto" w:w="0"/>
        <w:tblLook w:firstColumn="1" w:firstRow="1" w:lastColumn="0" w:lastRow="0" w:noHBand="0" w:noVBand="1" w:val="04A0"/>
      </w:tblPr>
      <w:tblGrid>
        <w:gridCol w:w="4320"/>
        <w:gridCol w:w="4320"/>
      </w:tblGrid>
      <w:tr>
        <w:tc>
          <w:tcPr>
            <w:tcW w:type="dxa" w:w="4320"/>
          </w:tcPr>
          <w:p>
            <w:r>
              <w:t>FAPERS</w:t>
            </w:r>
          </w:p>
        </w:tc>
        <w:tc>
          <w:tcPr>
            <w:tcW w:type="dxa" w:w="4320"/>
          </w:tcPr>
          <w:p>
            <w:r>
              <w:t>S3</w:t>
            </w:r>
          </w:p>
        </w:tc>
      </w:tr>
      <w:tr>
        <w:tc>
          <w:tcPr>
            <w:tcW w:type="dxa" w:w="4320"/>
          </w:tcPr>
          <w:p>
            <w:r>
              <w:t>FASC</w:t>
            </w:r>
          </w:p>
        </w:tc>
        <w:tc>
          <w:tcPr>
            <w:tcW w:type="dxa" w:w="4320"/>
          </w:tcPr>
          <w:p>
            <w:r>
              <w:t>S3</w:t>
            </w:r>
          </w:p>
        </w:tc>
      </w:tr>
      <w:tr>
        <w:tc>
          <w:tcPr>
            <w:tcW w:type="dxa" w:w="4320"/>
          </w:tcPr>
          <w:p>
            <w:r>
              <w:t>FGV-PREVI</w:t>
            </w:r>
          </w:p>
        </w:tc>
        <w:tc>
          <w:tcPr>
            <w:tcW w:type="dxa" w:w="4320"/>
          </w:tcPr>
          <w:p>
            <w:r>
              <w:t>S3</w:t>
            </w:r>
          </w:p>
        </w:tc>
      </w:tr>
      <w:tr>
        <w:tc>
          <w:tcPr>
            <w:tcW w:type="dxa" w:w="4320"/>
          </w:tcPr>
          <w:p>
            <w:r>
              <w:t>FIPECQ</w:t>
            </w:r>
          </w:p>
        </w:tc>
        <w:tc>
          <w:tcPr>
            <w:tcW w:type="dxa" w:w="4320"/>
          </w:tcPr>
          <w:p>
            <w:r>
              <w:t>S3</w:t>
            </w:r>
          </w:p>
        </w:tc>
      </w:tr>
      <w:tr>
        <w:tc>
          <w:tcPr>
            <w:tcW w:type="dxa" w:w="4320"/>
          </w:tcPr>
          <w:p>
            <w:r>
              <w:t>FUNDACAO CORSAN</w:t>
            </w:r>
          </w:p>
        </w:tc>
        <w:tc>
          <w:tcPr>
            <w:tcW w:type="dxa" w:w="4320"/>
          </w:tcPr>
          <w:p>
            <w:r>
              <w:t>S3</w:t>
            </w:r>
          </w:p>
        </w:tc>
      </w:tr>
      <w:tr>
        <w:tc>
          <w:tcPr>
            <w:tcW w:type="dxa" w:w="4320"/>
          </w:tcPr>
          <w:p>
            <w:r>
              <w:t>FUNDAMBRAS</w:t>
            </w:r>
          </w:p>
        </w:tc>
        <w:tc>
          <w:tcPr>
            <w:tcW w:type="dxa" w:w="4320"/>
          </w:tcPr>
          <w:p>
            <w:r>
              <w:t>S3</w:t>
            </w:r>
          </w:p>
        </w:tc>
      </w:tr>
      <w:tr>
        <w:tc>
          <w:tcPr>
            <w:tcW w:type="dxa" w:w="4320"/>
          </w:tcPr>
          <w:p>
            <w:r>
              <w:t>FUNDIAGUA</w:t>
            </w:r>
          </w:p>
        </w:tc>
        <w:tc>
          <w:tcPr>
            <w:tcW w:type="dxa" w:w="4320"/>
          </w:tcPr>
          <w:p>
            <w:r>
              <w:t>S3</w:t>
            </w:r>
          </w:p>
        </w:tc>
      </w:tr>
      <w:tr>
        <w:tc>
          <w:tcPr>
            <w:tcW w:type="dxa" w:w="4320"/>
          </w:tcPr>
          <w:p>
            <w:r>
              <w:t>FUNSEJEM</w:t>
            </w:r>
          </w:p>
        </w:tc>
        <w:tc>
          <w:tcPr>
            <w:tcW w:type="dxa" w:w="4320"/>
          </w:tcPr>
          <w:p>
            <w:r>
              <w:t>S3</w:t>
            </w:r>
          </w:p>
        </w:tc>
      </w:tr>
      <w:tr>
        <w:tc>
          <w:tcPr>
            <w:tcW w:type="dxa" w:w="4320"/>
          </w:tcPr>
          <w:p>
            <w:r>
              <w:t>FUTURA PREV</w:t>
            </w:r>
          </w:p>
        </w:tc>
        <w:tc>
          <w:tcPr>
            <w:tcW w:type="dxa" w:w="4320"/>
          </w:tcPr>
          <w:p>
            <w:r>
              <w:t>S3</w:t>
            </w:r>
          </w:p>
        </w:tc>
      </w:tr>
      <w:tr>
        <w:tc>
          <w:tcPr>
            <w:tcW w:type="dxa" w:w="4320"/>
          </w:tcPr>
          <w:p>
            <w:r>
              <w:t>FUTURAMAIS</w:t>
            </w:r>
          </w:p>
        </w:tc>
        <w:tc>
          <w:tcPr>
            <w:tcW w:type="dxa" w:w="4320"/>
          </w:tcPr>
          <w:p>
            <w:r>
              <w:t>S3</w:t>
            </w:r>
          </w:p>
        </w:tc>
      </w:tr>
      <w:tr>
        <w:tc>
          <w:tcPr>
            <w:tcW w:type="dxa" w:w="4320"/>
          </w:tcPr>
          <w:p>
            <w:r>
              <w:t>IAJA</w:t>
            </w:r>
          </w:p>
        </w:tc>
        <w:tc>
          <w:tcPr>
            <w:tcW w:type="dxa" w:w="4320"/>
          </w:tcPr>
          <w:p>
            <w:r>
              <w:t>S3</w:t>
            </w:r>
          </w:p>
        </w:tc>
      </w:tr>
      <w:tr>
        <w:tc>
          <w:tcPr>
            <w:tcW w:type="dxa" w:w="4320"/>
          </w:tcPr>
          <w:p>
            <w:r>
              <w:t>INDUSPREVI</w:t>
            </w:r>
          </w:p>
        </w:tc>
        <w:tc>
          <w:tcPr>
            <w:tcW w:type="dxa" w:w="4320"/>
          </w:tcPr>
          <w:p>
            <w:r>
              <w:t>S3</w:t>
            </w:r>
          </w:p>
        </w:tc>
      </w:tr>
      <w:tr>
        <w:tc>
          <w:tcPr>
            <w:tcW w:type="dxa" w:w="4320"/>
          </w:tcPr>
          <w:p>
            <w:r>
              <w:t>INOVAR PREVIDENCIA</w:t>
            </w:r>
          </w:p>
        </w:tc>
        <w:tc>
          <w:tcPr>
            <w:tcW w:type="dxa" w:w="4320"/>
          </w:tcPr>
          <w:p>
            <w:r>
              <w:t>S3</w:t>
            </w:r>
          </w:p>
        </w:tc>
      </w:tr>
      <w:tr>
        <w:tc>
          <w:tcPr>
            <w:tcW w:type="dxa" w:w="4320"/>
          </w:tcPr>
          <w:p>
            <w:r>
              <w:t>ISBRE</w:t>
            </w:r>
          </w:p>
        </w:tc>
        <w:tc>
          <w:tcPr>
            <w:tcW w:type="dxa" w:w="4320"/>
          </w:tcPr>
          <w:p>
            <w:r>
              <w:t>S3</w:t>
            </w:r>
          </w:p>
        </w:tc>
      </w:tr>
      <w:tr>
        <w:tc>
          <w:tcPr>
            <w:tcW w:type="dxa" w:w="4320"/>
          </w:tcPr>
          <w:p>
            <w:r>
              <w:t>JOHNSON</w:t>
            </w:r>
          </w:p>
        </w:tc>
        <w:tc>
          <w:tcPr>
            <w:tcW w:type="dxa" w:w="4320"/>
          </w:tcPr>
          <w:p>
            <w:r>
              <w:t>S3</w:t>
            </w:r>
          </w:p>
        </w:tc>
      </w:tr>
      <w:tr>
        <w:tc>
          <w:tcPr>
            <w:tcW w:type="dxa" w:w="4320"/>
          </w:tcPr>
          <w:p>
            <w:r>
              <w:t>JUSPREV</w:t>
            </w:r>
          </w:p>
        </w:tc>
        <w:tc>
          <w:tcPr>
            <w:tcW w:type="dxa" w:w="4320"/>
          </w:tcPr>
          <w:p>
            <w:r>
              <w:t>S3</w:t>
            </w:r>
          </w:p>
        </w:tc>
      </w:tr>
      <w:tr>
        <w:tc>
          <w:tcPr>
            <w:tcW w:type="dxa" w:w="4320"/>
          </w:tcPr>
          <w:p>
            <w:r>
              <w:t>KPMG PREV</w:t>
            </w:r>
          </w:p>
        </w:tc>
        <w:tc>
          <w:tcPr>
            <w:tcW w:type="dxa" w:w="4320"/>
          </w:tcPr>
          <w:p>
            <w:r>
              <w:t>S3</w:t>
            </w:r>
          </w:p>
        </w:tc>
      </w:tr>
      <w:tr>
        <w:tc>
          <w:tcPr>
            <w:tcW w:type="dxa" w:w="4320"/>
          </w:tcPr>
          <w:p>
            <w:r>
              <w:t>MAIS VIDA PREV</w:t>
            </w:r>
          </w:p>
        </w:tc>
        <w:tc>
          <w:tcPr>
            <w:tcW w:type="dxa" w:w="4320"/>
          </w:tcPr>
          <w:p>
            <w:r>
              <w:t>S3</w:t>
            </w:r>
          </w:p>
        </w:tc>
      </w:tr>
      <w:tr>
        <w:tc>
          <w:tcPr>
            <w:tcW w:type="dxa" w:w="4320"/>
          </w:tcPr>
          <w:p>
            <w:r>
              <w:t>MARCOPREV</w:t>
            </w:r>
          </w:p>
        </w:tc>
        <w:tc>
          <w:tcPr>
            <w:tcW w:type="dxa" w:w="4320"/>
          </w:tcPr>
          <w:p>
            <w:r>
              <w:t>S3</w:t>
            </w:r>
          </w:p>
        </w:tc>
      </w:tr>
      <w:tr>
        <w:tc>
          <w:tcPr>
            <w:tcW w:type="dxa" w:w="4320"/>
          </w:tcPr>
          <w:p>
            <w:r>
              <w:t>MAUA PREV</w:t>
            </w:r>
          </w:p>
        </w:tc>
        <w:tc>
          <w:tcPr>
            <w:tcW w:type="dxa" w:w="4320"/>
          </w:tcPr>
          <w:p>
            <w:r>
              <w:t>S3</w:t>
            </w:r>
          </w:p>
        </w:tc>
      </w:tr>
      <w:tr>
        <w:tc>
          <w:tcPr>
            <w:tcW w:type="dxa" w:w="4320"/>
          </w:tcPr>
          <w:p>
            <w:r>
              <w:t>MBPREV</w:t>
            </w:r>
          </w:p>
        </w:tc>
        <w:tc>
          <w:tcPr>
            <w:tcW w:type="dxa" w:w="4320"/>
          </w:tcPr>
          <w:p>
            <w:r>
              <w:t>S3</w:t>
            </w:r>
          </w:p>
        </w:tc>
      </w:tr>
      <w:tr>
        <w:tc>
          <w:tcPr>
            <w:tcW w:type="dxa" w:w="4320"/>
          </w:tcPr>
          <w:p>
            <w:r>
              <w:t>MSD PREV</w:t>
            </w:r>
          </w:p>
        </w:tc>
        <w:tc>
          <w:tcPr>
            <w:tcW w:type="dxa" w:w="4320"/>
          </w:tcPr>
          <w:p>
            <w:r>
              <w:t>S3</w:t>
            </w:r>
          </w:p>
        </w:tc>
      </w:tr>
      <w:tr>
        <w:tc>
          <w:tcPr>
            <w:tcW w:type="dxa" w:w="4320"/>
          </w:tcPr>
          <w:p>
            <w:r>
              <w:t>OABPREV-MG</w:t>
            </w:r>
          </w:p>
        </w:tc>
        <w:tc>
          <w:tcPr>
            <w:tcW w:type="dxa" w:w="4320"/>
          </w:tcPr>
          <w:p>
            <w:r>
              <w:t>S3</w:t>
            </w:r>
          </w:p>
        </w:tc>
      </w:tr>
      <w:tr>
        <w:tc>
          <w:tcPr>
            <w:tcW w:type="dxa" w:w="4320"/>
          </w:tcPr>
          <w:p>
            <w:r>
              <w:t>OABPREV-PR</w:t>
            </w:r>
          </w:p>
        </w:tc>
        <w:tc>
          <w:tcPr>
            <w:tcW w:type="dxa" w:w="4320"/>
          </w:tcPr>
          <w:p>
            <w:r>
              <w:t>S3</w:t>
            </w:r>
          </w:p>
        </w:tc>
      </w:tr>
      <w:tr>
        <w:tc>
          <w:tcPr>
            <w:tcW w:type="dxa" w:w="4320"/>
          </w:tcPr>
          <w:p>
            <w:r>
              <w:t>OABPREV-SP</w:t>
            </w:r>
          </w:p>
        </w:tc>
        <w:tc>
          <w:tcPr>
            <w:tcW w:type="dxa" w:w="4320"/>
          </w:tcPr>
          <w:p>
            <w:r>
              <w:t>S3</w:t>
            </w:r>
          </w:p>
        </w:tc>
      </w:tr>
      <w:tr>
        <w:tc>
          <w:tcPr>
            <w:tcW w:type="dxa" w:w="4320"/>
          </w:tcPr>
          <w:p>
            <w:r>
              <w:t>P&amp;G PREV</w:t>
            </w:r>
          </w:p>
        </w:tc>
        <w:tc>
          <w:tcPr>
            <w:tcW w:type="dxa" w:w="4320"/>
          </w:tcPr>
          <w:p>
            <w:r>
              <w:t>S3</w:t>
            </w:r>
          </w:p>
        </w:tc>
      </w:tr>
      <w:tr>
        <w:tc>
          <w:tcPr>
            <w:tcW w:type="dxa" w:w="4320"/>
          </w:tcPr>
          <w:p>
            <w:r>
              <w:t>PLANEJAR</w:t>
            </w:r>
          </w:p>
        </w:tc>
        <w:tc>
          <w:tcPr>
            <w:tcW w:type="dxa" w:w="4320"/>
          </w:tcPr>
          <w:p>
            <w:r>
              <w:t>S3</w:t>
            </w:r>
          </w:p>
        </w:tc>
      </w:tr>
      <w:tr>
        <w:tc>
          <w:tcPr>
            <w:tcW w:type="dxa" w:w="4320"/>
          </w:tcPr>
          <w:p>
            <w:r>
              <w:t>PORTOPREV</w:t>
            </w:r>
          </w:p>
        </w:tc>
        <w:tc>
          <w:tcPr>
            <w:tcW w:type="dxa" w:w="4320"/>
          </w:tcPr>
          <w:p>
            <w:r>
              <w:t>S3</w:t>
            </w:r>
          </w:p>
        </w:tc>
      </w:tr>
      <w:tr>
        <w:tc>
          <w:tcPr>
            <w:tcW w:type="dxa" w:w="4320"/>
          </w:tcPr>
          <w:p>
            <w:r>
              <w:t>PORTUS</w:t>
            </w:r>
          </w:p>
        </w:tc>
        <w:tc>
          <w:tcPr>
            <w:tcW w:type="dxa" w:w="4320"/>
          </w:tcPr>
          <w:p>
            <w:r>
              <w:t>S3</w:t>
            </w:r>
          </w:p>
        </w:tc>
      </w:tr>
      <w:tr>
        <w:tc>
          <w:tcPr>
            <w:tcW w:type="dxa" w:w="4320"/>
          </w:tcPr>
          <w:p>
            <w:r>
              <w:t>POUPREV</w:t>
            </w:r>
          </w:p>
        </w:tc>
        <w:tc>
          <w:tcPr>
            <w:tcW w:type="dxa" w:w="4320"/>
          </w:tcPr>
          <w:p>
            <w:r>
              <w:t>S3</w:t>
            </w:r>
          </w:p>
        </w:tc>
      </w:tr>
      <w:tr>
        <w:tc>
          <w:tcPr>
            <w:tcW w:type="dxa" w:w="4320"/>
          </w:tcPr>
          <w:p>
            <w:r>
              <w:t>PREV PEPSICO</w:t>
            </w:r>
          </w:p>
        </w:tc>
        <w:tc>
          <w:tcPr>
            <w:tcW w:type="dxa" w:w="4320"/>
          </w:tcPr>
          <w:p>
            <w:r>
              <w:t>S3</w:t>
            </w:r>
          </w:p>
        </w:tc>
      </w:tr>
      <w:tr>
        <w:tc>
          <w:tcPr>
            <w:tcW w:type="dxa" w:w="4320"/>
          </w:tcPr>
          <w:p>
            <w:r>
              <w:t>PREVDATA</w:t>
            </w:r>
          </w:p>
        </w:tc>
        <w:tc>
          <w:tcPr>
            <w:tcW w:type="dxa" w:w="4320"/>
          </w:tcPr>
          <w:p>
            <w:r>
              <w:t>S3</w:t>
            </w:r>
          </w:p>
        </w:tc>
      </w:tr>
      <w:tr>
        <w:tc>
          <w:tcPr>
            <w:tcW w:type="dxa" w:w="4320"/>
          </w:tcPr>
          <w:p>
            <w:r>
              <w:t>PREVDOW</w:t>
            </w:r>
          </w:p>
        </w:tc>
        <w:tc>
          <w:tcPr>
            <w:tcW w:type="dxa" w:w="4320"/>
          </w:tcPr>
          <w:p>
            <w:r>
              <w:t>S3</w:t>
            </w:r>
          </w:p>
        </w:tc>
      </w:tr>
      <w:tr>
        <w:tc>
          <w:tcPr>
            <w:tcW w:type="dxa" w:w="4320"/>
          </w:tcPr>
          <w:p>
            <w:r>
              <w:t>PREVEME</w:t>
            </w:r>
          </w:p>
        </w:tc>
        <w:tc>
          <w:tcPr>
            <w:tcW w:type="dxa" w:w="4320"/>
          </w:tcPr>
          <w:p>
            <w:r>
              <w:t>S3</w:t>
            </w:r>
          </w:p>
        </w:tc>
      </w:tr>
      <w:tr>
        <w:tc>
          <w:tcPr>
            <w:tcW w:type="dxa" w:w="4320"/>
          </w:tcPr>
          <w:p>
            <w:r>
              <w:t>PREVI NOVARTIS</w:t>
            </w:r>
          </w:p>
        </w:tc>
        <w:tc>
          <w:tcPr>
            <w:tcW w:type="dxa" w:w="4320"/>
          </w:tcPr>
          <w:p>
            <w:r>
              <w:t>S3</w:t>
            </w:r>
          </w:p>
        </w:tc>
      </w:tr>
      <w:tr>
        <w:tc>
          <w:tcPr>
            <w:tcW w:type="dxa" w:w="4320"/>
          </w:tcPr>
          <w:p>
            <w:r>
              <w:t>PREVIBOSCH</w:t>
            </w:r>
          </w:p>
        </w:tc>
        <w:tc>
          <w:tcPr>
            <w:tcW w:type="dxa" w:w="4320"/>
          </w:tcPr>
          <w:p>
            <w:r>
              <w:t>S3</w:t>
            </w:r>
          </w:p>
        </w:tc>
      </w:tr>
      <w:tr>
        <w:tc>
          <w:tcPr>
            <w:tcW w:type="dxa" w:w="4320"/>
          </w:tcPr>
          <w:p>
            <w:r>
              <w:t>PREVICAT</w:t>
            </w:r>
          </w:p>
        </w:tc>
        <w:tc>
          <w:tcPr>
            <w:tcW w:type="dxa" w:w="4320"/>
          </w:tcPr>
          <w:p>
            <w:r>
              <w:t>S3</w:t>
            </w:r>
          </w:p>
        </w:tc>
      </w:tr>
      <w:tr>
        <w:tc>
          <w:tcPr>
            <w:tcW w:type="dxa" w:w="4320"/>
          </w:tcPr>
          <w:p>
            <w:r>
              <w:t>PREVICOKE</w:t>
            </w:r>
          </w:p>
        </w:tc>
        <w:tc>
          <w:tcPr>
            <w:tcW w:type="dxa" w:w="4320"/>
          </w:tcPr>
          <w:p>
            <w:r>
              <w:t>S3</w:t>
            </w:r>
          </w:p>
        </w:tc>
      </w:tr>
      <w:tr>
        <w:tc>
          <w:tcPr>
            <w:tcW w:type="dxa" w:w="4320"/>
          </w:tcPr>
          <w:p>
            <w:r>
              <w:t>PREVIDEXXONMOBIL</w:t>
            </w:r>
          </w:p>
        </w:tc>
        <w:tc>
          <w:tcPr>
            <w:tcW w:type="dxa" w:w="4320"/>
          </w:tcPr>
          <w:p>
            <w:r>
              <w:t>S3</w:t>
            </w:r>
          </w:p>
        </w:tc>
      </w:tr>
      <w:tr>
        <w:tc>
          <w:tcPr>
            <w:tcW w:type="dxa" w:w="4320"/>
          </w:tcPr>
          <w:p>
            <w:r>
              <w:t>PREVIHONDA</w:t>
            </w:r>
          </w:p>
        </w:tc>
        <w:tc>
          <w:tcPr>
            <w:tcW w:type="dxa" w:w="4320"/>
          </w:tcPr>
          <w:p>
            <w:r>
              <w:t>S3</w:t>
            </w:r>
          </w:p>
        </w:tc>
      </w:tr>
      <w:tr>
        <w:tc>
          <w:tcPr>
            <w:tcW w:type="dxa" w:w="4320"/>
          </w:tcPr>
          <w:p>
            <w:r>
              <w:t>PREVIM</w:t>
            </w:r>
          </w:p>
        </w:tc>
        <w:tc>
          <w:tcPr>
            <w:tcW w:type="dxa" w:w="4320"/>
          </w:tcPr>
          <w:p>
            <w:r>
              <w:t>S3</w:t>
            </w:r>
          </w:p>
        </w:tc>
      </w:tr>
      <w:tr>
        <w:tc>
          <w:tcPr>
            <w:tcW w:type="dxa" w:w="4320"/>
          </w:tcPr>
          <w:p>
            <w:r>
              <w:t>PREVINDUS</w:t>
            </w:r>
          </w:p>
        </w:tc>
        <w:tc>
          <w:tcPr>
            <w:tcW w:type="dxa" w:w="4320"/>
          </w:tcPr>
          <w:p>
            <w:r>
              <w:t>S3</w:t>
            </w:r>
          </w:p>
        </w:tc>
      </w:tr>
      <w:tr>
        <w:tc>
          <w:tcPr>
            <w:tcW w:type="dxa" w:w="4320"/>
          </w:tcPr>
          <w:p>
            <w:r>
              <w:t>PREVIPLAN</w:t>
            </w:r>
          </w:p>
        </w:tc>
        <w:tc>
          <w:tcPr>
            <w:tcW w:type="dxa" w:w="4320"/>
          </w:tcPr>
          <w:p>
            <w:r>
              <w:t>S3</w:t>
            </w:r>
          </w:p>
        </w:tc>
      </w:tr>
      <w:tr>
        <w:tc>
          <w:tcPr>
            <w:tcW w:type="dxa" w:w="4320"/>
          </w:tcPr>
          <w:p>
            <w:r>
              <w:t>PREVIRB</w:t>
            </w:r>
          </w:p>
        </w:tc>
        <w:tc>
          <w:tcPr>
            <w:tcW w:type="dxa" w:w="4320"/>
          </w:tcPr>
          <w:p>
            <w:r>
              <w:t>S3</w:t>
            </w:r>
          </w:p>
        </w:tc>
      </w:tr>
      <w:tr>
        <w:tc>
          <w:tcPr>
            <w:tcW w:type="dxa" w:w="4320"/>
          </w:tcPr>
          <w:p>
            <w:r>
              <w:t>PREVI-SIEMENS</w:t>
            </w:r>
          </w:p>
        </w:tc>
        <w:tc>
          <w:tcPr>
            <w:tcW w:type="dxa" w:w="4320"/>
          </w:tcPr>
          <w:p>
            <w:r>
              <w:t>S3</w:t>
            </w:r>
          </w:p>
        </w:tc>
      </w:tr>
      <w:tr>
        <w:tc>
          <w:tcPr>
            <w:tcW w:type="dxa" w:w="4320"/>
          </w:tcPr>
          <w:p>
            <w:r>
              <w:t>PREVNORDESTE</w:t>
            </w:r>
          </w:p>
        </w:tc>
        <w:tc>
          <w:tcPr>
            <w:tcW w:type="dxa" w:w="4320"/>
          </w:tcPr>
          <w:p>
            <w:r>
              <w:t>S3</w:t>
            </w:r>
          </w:p>
        </w:tc>
      </w:tr>
      <w:tr>
        <w:tc>
          <w:tcPr>
            <w:tcW w:type="dxa" w:w="4320"/>
          </w:tcPr>
          <w:p>
            <w:r>
              <w:t>PREVSAN</w:t>
            </w:r>
          </w:p>
        </w:tc>
        <w:tc>
          <w:tcPr>
            <w:tcW w:type="dxa" w:w="4320"/>
          </w:tcPr>
          <w:p>
            <w:r>
              <w:t>S3</w:t>
            </w:r>
          </w:p>
        </w:tc>
      </w:tr>
      <w:tr>
        <w:tc>
          <w:tcPr>
            <w:tcW w:type="dxa" w:w="4320"/>
          </w:tcPr>
          <w:p>
            <w:r>
              <w:t>PREVUNIAO</w:t>
            </w:r>
          </w:p>
        </w:tc>
        <w:tc>
          <w:tcPr>
            <w:tcW w:type="dxa" w:w="4320"/>
          </w:tcPr>
          <w:p>
            <w:r>
              <w:t>S3</w:t>
            </w:r>
          </w:p>
        </w:tc>
      </w:tr>
      <w:tr>
        <w:tc>
          <w:tcPr>
            <w:tcW w:type="dxa" w:w="4320"/>
          </w:tcPr>
          <w:p>
            <w:r>
              <w:t>PRHOSPER</w:t>
            </w:r>
          </w:p>
        </w:tc>
        <w:tc>
          <w:tcPr>
            <w:tcW w:type="dxa" w:w="4320"/>
          </w:tcPr>
          <w:p>
            <w:r>
              <w:t>S3</w:t>
            </w:r>
          </w:p>
        </w:tc>
      </w:tr>
      <w:tr>
        <w:tc>
          <w:tcPr>
            <w:tcW w:type="dxa" w:w="4320"/>
          </w:tcPr>
          <w:p>
            <w:r>
              <w:t>PROMON</w:t>
            </w:r>
          </w:p>
        </w:tc>
        <w:tc>
          <w:tcPr>
            <w:tcW w:type="dxa" w:w="4320"/>
          </w:tcPr>
          <w:p>
            <w:r>
              <w:t>S3</w:t>
            </w:r>
          </w:p>
        </w:tc>
      </w:tr>
      <w:tr>
        <w:tc>
          <w:tcPr>
            <w:tcW w:type="dxa" w:w="4320"/>
          </w:tcPr>
          <w:p>
            <w:r>
              <w:t>RANDONPREV</w:t>
            </w:r>
          </w:p>
        </w:tc>
        <w:tc>
          <w:tcPr>
            <w:tcW w:type="dxa" w:w="4320"/>
          </w:tcPr>
          <w:p>
            <w:r>
              <w:t>S3</w:t>
            </w:r>
          </w:p>
        </w:tc>
      </w:tr>
      <w:tr>
        <w:tc>
          <w:tcPr>
            <w:tcW w:type="dxa" w:w="4320"/>
          </w:tcPr>
          <w:p>
            <w:r>
              <w:t>RUMOS</w:t>
            </w:r>
          </w:p>
        </w:tc>
        <w:tc>
          <w:tcPr>
            <w:tcW w:type="dxa" w:w="4320"/>
          </w:tcPr>
          <w:p>
            <w:r>
              <w:t>S3</w:t>
            </w:r>
          </w:p>
        </w:tc>
      </w:tr>
      <w:tr>
        <w:tc>
          <w:tcPr>
            <w:tcW w:type="dxa" w:w="4320"/>
          </w:tcPr>
          <w:p>
            <w:r>
              <w:t>SAO FRANCISCO</w:t>
            </w:r>
          </w:p>
        </w:tc>
        <w:tc>
          <w:tcPr>
            <w:tcW w:type="dxa" w:w="4320"/>
          </w:tcPr>
          <w:p>
            <w:r>
              <w:t>S3</w:t>
            </w:r>
          </w:p>
        </w:tc>
      </w:tr>
      <w:tr>
        <w:tc>
          <w:tcPr>
            <w:tcW w:type="dxa" w:w="4320"/>
          </w:tcPr>
          <w:p>
            <w:r>
              <w:t>SAO RAFAEL</w:t>
            </w:r>
          </w:p>
        </w:tc>
        <w:tc>
          <w:tcPr>
            <w:tcW w:type="dxa" w:w="4320"/>
          </w:tcPr>
          <w:p>
            <w:r>
              <w:t>S3</w:t>
            </w:r>
          </w:p>
        </w:tc>
      </w:tr>
      <w:tr>
        <w:tc>
          <w:tcPr>
            <w:tcW w:type="dxa" w:w="4320"/>
          </w:tcPr>
          <w:p>
            <w:r>
              <w:t>SARAH PREVIDÊNCIA</w:t>
            </w:r>
          </w:p>
        </w:tc>
        <w:tc>
          <w:tcPr>
            <w:tcW w:type="dxa" w:w="4320"/>
          </w:tcPr>
          <w:p>
            <w:r>
              <w:t>S3</w:t>
            </w:r>
          </w:p>
        </w:tc>
      </w:tr>
      <w:tr>
        <w:tc>
          <w:tcPr>
            <w:tcW w:type="dxa" w:w="4320"/>
          </w:tcPr>
          <w:p>
            <w:r>
              <w:t>SCPREV</w:t>
            </w:r>
          </w:p>
        </w:tc>
        <w:tc>
          <w:tcPr>
            <w:tcW w:type="dxa" w:w="4320"/>
          </w:tcPr>
          <w:p>
            <w:r>
              <w:t>S3</w:t>
            </w:r>
          </w:p>
        </w:tc>
      </w:tr>
      <w:tr>
        <w:tc>
          <w:tcPr>
            <w:tcW w:type="dxa" w:w="4320"/>
          </w:tcPr>
          <w:p>
            <w:r>
              <w:t>SEBRAE PREVIDENCIA</w:t>
            </w:r>
          </w:p>
        </w:tc>
        <w:tc>
          <w:tcPr>
            <w:tcW w:type="dxa" w:w="4320"/>
          </w:tcPr>
          <w:p>
            <w:r>
              <w:t>S3</w:t>
            </w:r>
          </w:p>
        </w:tc>
      </w:tr>
      <w:tr>
        <w:tc>
          <w:tcPr>
            <w:tcW w:type="dxa" w:w="4320"/>
          </w:tcPr>
          <w:p>
            <w:r>
              <w:t>SERGUS</w:t>
            </w:r>
          </w:p>
        </w:tc>
        <w:tc>
          <w:tcPr>
            <w:tcW w:type="dxa" w:w="4320"/>
          </w:tcPr>
          <w:p>
            <w:r>
              <w:t>S3</w:t>
            </w:r>
          </w:p>
        </w:tc>
      </w:tr>
      <w:tr>
        <w:tc>
          <w:tcPr>
            <w:tcW w:type="dxa" w:w="4320"/>
          </w:tcPr>
          <w:p>
            <w:r>
              <w:t>SUPREV</w:t>
            </w:r>
          </w:p>
        </w:tc>
        <w:tc>
          <w:tcPr>
            <w:tcW w:type="dxa" w:w="4320"/>
          </w:tcPr>
          <w:p>
            <w:r>
              <w:t>S3</w:t>
            </w:r>
          </w:p>
        </w:tc>
      </w:tr>
      <w:tr>
        <w:tc>
          <w:tcPr>
            <w:tcW w:type="dxa" w:w="4320"/>
          </w:tcPr>
          <w:p>
            <w:r>
              <w:t>SYNGENTA PREVI</w:t>
            </w:r>
          </w:p>
        </w:tc>
        <w:tc>
          <w:tcPr>
            <w:tcW w:type="dxa" w:w="4320"/>
          </w:tcPr>
          <w:p>
            <w:r>
              <w:t>S3</w:t>
            </w:r>
          </w:p>
        </w:tc>
      </w:tr>
      <w:tr>
        <w:tc>
          <w:tcPr>
            <w:tcW w:type="dxa" w:w="4320"/>
          </w:tcPr>
          <w:p>
            <w:r>
              <w:t>ULTRAPREV</w:t>
            </w:r>
          </w:p>
        </w:tc>
        <w:tc>
          <w:tcPr>
            <w:tcW w:type="dxa" w:w="4320"/>
          </w:tcPr>
          <w:p>
            <w:r>
              <w:t>S3</w:t>
            </w:r>
          </w:p>
        </w:tc>
      </w:tr>
      <w:tr>
        <w:tc>
          <w:tcPr>
            <w:tcW w:type="dxa" w:w="4320"/>
          </w:tcPr>
          <w:p>
            <w:r>
              <w:t>VALUE PREV</w:t>
            </w:r>
          </w:p>
        </w:tc>
        <w:tc>
          <w:tcPr>
            <w:tcW w:type="dxa" w:w="4320"/>
          </w:tcPr>
          <w:p>
            <w:r>
              <w:t>S3</w:t>
            </w:r>
          </w:p>
        </w:tc>
      </w:tr>
      <w:tr>
        <w:tc>
          <w:tcPr>
            <w:tcW w:type="dxa" w:w="4320"/>
          </w:tcPr>
          <w:p>
            <w:r>
              <w:t>VIKINGPREV</w:t>
            </w:r>
          </w:p>
        </w:tc>
        <w:tc>
          <w:tcPr>
            <w:tcW w:type="dxa" w:w="4320"/>
          </w:tcPr>
          <w:p>
            <w:r>
              <w:t>S3</w:t>
            </w:r>
          </w:p>
        </w:tc>
      </w:tr>
      <w:tr>
        <w:tc>
          <w:tcPr>
            <w:tcW w:type="dxa" w:w="4320"/>
          </w:tcPr>
          <w:p>
            <w:r>
              <w:t>ALBAPREV</w:t>
            </w:r>
          </w:p>
        </w:tc>
        <w:tc>
          <w:tcPr>
            <w:tcW w:type="dxa" w:w="4320"/>
          </w:tcPr>
          <w:p>
            <w:r>
              <w:t>S4</w:t>
            </w:r>
          </w:p>
        </w:tc>
      </w:tr>
      <w:tr>
        <w:tc>
          <w:tcPr>
            <w:tcW w:type="dxa" w:w="4320"/>
          </w:tcPr>
          <w:p>
            <w:r>
              <w:t>ALEPEPREV</w:t>
            </w:r>
          </w:p>
        </w:tc>
        <w:tc>
          <w:tcPr>
            <w:tcW w:type="dxa" w:w="4320"/>
          </w:tcPr>
          <w:p>
            <w:r>
              <w:t>S4</w:t>
            </w:r>
          </w:p>
        </w:tc>
      </w:tr>
      <w:tr>
        <w:tc>
          <w:tcPr>
            <w:tcW w:type="dxa" w:w="4320"/>
          </w:tcPr>
          <w:p>
            <w:r>
              <w:t>ALPHA</w:t>
            </w:r>
          </w:p>
        </w:tc>
        <w:tc>
          <w:tcPr>
            <w:tcW w:type="dxa" w:w="4320"/>
          </w:tcPr>
          <w:p>
            <w:r>
              <w:t>S4</w:t>
            </w:r>
          </w:p>
        </w:tc>
      </w:tr>
      <w:tr>
        <w:tc>
          <w:tcPr>
            <w:tcW w:type="dxa" w:w="4320"/>
          </w:tcPr>
          <w:p>
            <w:r>
              <w:t>ALPREV</w:t>
            </w:r>
          </w:p>
        </w:tc>
        <w:tc>
          <w:tcPr>
            <w:tcW w:type="dxa" w:w="4320"/>
          </w:tcPr>
          <w:p>
            <w:r>
              <w:t>S4</w:t>
            </w:r>
          </w:p>
        </w:tc>
      </w:tr>
      <w:tr>
        <w:tc>
          <w:tcPr>
            <w:tcW w:type="dxa" w:w="4320"/>
          </w:tcPr>
          <w:p>
            <w:r>
              <w:t>ANABBPREV</w:t>
            </w:r>
          </w:p>
        </w:tc>
        <w:tc>
          <w:tcPr>
            <w:tcW w:type="dxa" w:w="4320"/>
          </w:tcPr>
          <w:p>
            <w:r>
              <w:t>S4</w:t>
            </w:r>
          </w:p>
        </w:tc>
      </w:tr>
      <w:tr>
        <w:tc>
          <w:tcPr>
            <w:tcW w:type="dxa" w:w="4320"/>
          </w:tcPr>
          <w:p>
            <w:r>
              <w:t>BOSCHPREV</w:t>
            </w:r>
          </w:p>
        </w:tc>
        <w:tc>
          <w:tcPr>
            <w:tcW w:type="dxa" w:w="4320"/>
          </w:tcPr>
          <w:p>
            <w:r>
              <w:t>S4</w:t>
            </w:r>
          </w:p>
        </w:tc>
      </w:tr>
      <w:tr>
        <w:tc>
          <w:tcPr>
            <w:tcW w:type="dxa" w:w="4320"/>
          </w:tcPr>
          <w:p>
            <w:r>
              <w:t>CABEC</w:t>
            </w:r>
          </w:p>
        </w:tc>
        <w:tc>
          <w:tcPr>
            <w:tcW w:type="dxa" w:w="4320"/>
          </w:tcPr>
          <w:p>
            <w:r>
              <w:t>S4</w:t>
            </w:r>
          </w:p>
        </w:tc>
      </w:tr>
      <w:tr>
        <w:tc>
          <w:tcPr>
            <w:tcW w:type="dxa" w:w="4320"/>
          </w:tcPr>
          <w:p>
            <w:r>
              <w:t>CAGEPREV</w:t>
            </w:r>
          </w:p>
        </w:tc>
        <w:tc>
          <w:tcPr>
            <w:tcW w:type="dxa" w:w="4320"/>
          </w:tcPr>
          <w:p>
            <w:r>
              <w:t>S4</w:t>
            </w:r>
          </w:p>
        </w:tc>
      </w:tr>
      <w:tr>
        <w:tc>
          <w:tcPr>
            <w:tcW w:type="dxa" w:w="4320"/>
          </w:tcPr>
          <w:p>
            <w:r>
              <w:t>CAPITAL PREV</w:t>
            </w:r>
          </w:p>
        </w:tc>
        <w:tc>
          <w:tcPr>
            <w:tcW w:type="dxa" w:w="4320"/>
          </w:tcPr>
          <w:p>
            <w:r>
              <w:t>S4</w:t>
            </w:r>
          </w:p>
        </w:tc>
      </w:tr>
      <w:tr>
        <w:tc>
          <w:tcPr>
            <w:tcW w:type="dxa" w:w="4320"/>
          </w:tcPr>
          <w:p>
            <w:r>
              <w:t>CAPOF</w:t>
            </w:r>
          </w:p>
        </w:tc>
        <w:tc>
          <w:tcPr>
            <w:tcW w:type="dxa" w:w="4320"/>
          </w:tcPr>
          <w:p>
            <w:r>
              <w:t>S4</w:t>
            </w:r>
          </w:p>
        </w:tc>
      </w:tr>
      <w:tr>
        <w:tc>
          <w:tcPr>
            <w:tcW w:type="dxa" w:w="4320"/>
          </w:tcPr>
          <w:p>
            <w:r>
              <w:t>CASANPREV</w:t>
            </w:r>
          </w:p>
        </w:tc>
        <w:tc>
          <w:tcPr>
            <w:tcW w:type="dxa" w:w="4320"/>
          </w:tcPr>
          <w:p>
            <w:r>
              <w:t>S4</w:t>
            </w:r>
          </w:p>
        </w:tc>
      </w:tr>
      <w:tr>
        <w:tc>
          <w:tcPr>
            <w:tcW w:type="dxa" w:w="4320"/>
          </w:tcPr>
          <w:p>
            <w:r>
              <w:t>CE-PREVCOM</w:t>
            </w:r>
          </w:p>
        </w:tc>
        <w:tc>
          <w:tcPr>
            <w:tcW w:type="dxa" w:w="4320"/>
          </w:tcPr>
          <w:p>
            <w:r>
              <w:t>S4</w:t>
            </w:r>
          </w:p>
        </w:tc>
      </w:tr>
      <w:tr>
        <w:tc>
          <w:tcPr>
            <w:tcW w:type="dxa" w:w="4320"/>
          </w:tcPr>
          <w:p>
            <w:r>
              <w:t>CIASPREV</w:t>
            </w:r>
          </w:p>
        </w:tc>
        <w:tc>
          <w:tcPr>
            <w:tcW w:type="dxa" w:w="4320"/>
          </w:tcPr>
          <w:p>
            <w:r>
              <w:t>S4</w:t>
            </w:r>
          </w:p>
        </w:tc>
      </w:tr>
      <w:tr>
        <w:tc>
          <w:tcPr>
            <w:tcW w:type="dxa" w:w="4320"/>
          </w:tcPr>
          <w:p>
            <w:r>
              <w:t>CIFRAO</w:t>
            </w:r>
          </w:p>
        </w:tc>
        <w:tc>
          <w:tcPr>
            <w:tcW w:type="dxa" w:w="4320"/>
          </w:tcPr>
          <w:p>
            <w:r>
              <w:t>S4</w:t>
            </w:r>
          </w:p>
        </w:tc>
      </w:tr>
      <w:tr>
        <w:tc>
          <w:tcPr>
            <w:tcW w:type="dxa" w:w="4320"/>
          </w:tcPr>
          <w:p>
            <w:r>
              <w:t>CURITIBAPREV</w:t>
            </w:r>
          </w:p>
        </w:tc>
        <w:tc>
          <w:tcPr>
            <w:tcW w:type="dxa" w:w="4320"/>
          </w:tcPr>
          <w:p>
            <w:r>
              <w:t>S4</w:t>
            </w:r>
          </w:p>
        </w:tc>
      </w:tr>
      <w:tr>
        <w:tc>
          <w:tcPr>
            <w:tcW w:type="dxa" w:w="4320"/>
          </w:tcPr>
          <w:p>
            <w:r>
              <w:t>DANAPREV</w:t>
            </w:r>
          </w:p>
        </w:tc>
        <w:tc>
          <w:tcPr>
            <w:tcW w:type="dxa" w:w="4320"/>
          </w:tcPr>
          <w:p>
            <w:r>
              <w:t>S4</w:t>
            </w:r>
          </w:p>
        </w:tc>
      </w:tr>
      <w:tr>
        <w:tc>
          <w:tcPr>
            <w:tcW w:type="dxa" w:w="4320"/>
          </w:tcPr>
          <w:p>
            <w:r>
              <w:t>DATUSPREV</w:t>
            </w:r>
          </w:p>
        </w:tc>
        <w:tc>
          <w:tcPr>
            <w:tcW w:type="dxa" w:w="4320"/>
          </w:tcPr>
          <w:p>
            <w:r>
              <w:t>S4</w:t>
            </w:r>
          </w:p>
        </w:tc>
      </w:tr>
      <w:tr>
        <w:tc>
          <w:tcPr>
            <w:tcW w:type="dxa" w:w="4320"/>
          </w:tcPr>
          <w:p>
            <w:r>
              <w:t>DERMINAS</w:t>
            </w:r>
          </w:p>
        </w:tc>
        <w:tc>
          <w:tcPr>
            <w:tcW w:type="dxa" w:w="4320"/>
          </w:tcPr>
          <w:p>
            <w:r>
              <w:t>S4</w:t>
            </w:r>
          </w:p>
        </w:tc>
      </w:tr>
      <w:tr>
        <w:tc>
          <w:tcPr>
            <w:tcW w:type="dxa" w:w="4320"/>
          </w:tcPr>
          <w:p>
            <w:r>
              <w:t>DF-PREVICOM</w:t>
            </w:r>
          </w:p>
        </w:tc>
        <w:tc>
          <w:tcPr>
            <w:tcW w:type="dxa" w:w="4320"/>
          </w:tcPr>
          <w:p>
            <w:r>
              <w:t>S4</w:t>
            </w:r>
          </w:p>
        </w:tc>
      </w:tr>
      <w:tr>
        <w:tc>
          <w:tcPr>
            <w:tcW w:type="dxa" w:w="4320"/>
          </w:tcPr>
          <w:p>
            <w:r>
              <w:t>FAPECE</w:t>
            </w:r>
          </w:p>
        </w:tc>
        <w:tc>
          <w:tcPr>
            <w:tcW w:type="dxa" w:w="4320"/>
          </w:tcPr>
          <w:p>
            <w:r>
              <w:t>S4</w:t>
            </w:r>
          </w:p>
        </w:tc>
      </w:tr>
      <w:tr>
        <w:tc>
          <w:tcPr>
            <w:tcW w:type="dxa" w:w="4320"/>
          </w:tcPr>
          <w:p>
            <w:r>
              <w:t>FUCAP</w:t>
            </w:r>
          </w:p>
        </w:tc>
        <w:tc>
          <w:tcPr>
            <w:tcW w:type="dxa" w:w="4320"/>
          </w:tcPr>
          <w:p>
            <w:r>
              <w:t>S4</w:t>
            </w:r>
          </w:p>
        </w:tc>
      </w:tr>
      <w:tr>
        <w:tc>
          <w:tcPr>
            <w:tcW w:type="dxa" w:w="4320"/>
          </w:tcPr>
          <w:p>
            <w:r>
              <w:t>FUMPRESC</w:t>
            </w:r>
          </w:p>
        </w:tc>
        <w:tc>
          <w:tcPr>
            <w:tcW w:type="dxa" w:w="4320"/>
          </w:tcPr>
          <w:p>
            <w:r>
              <w:t>S4</w:t>
            </w:r>
          </w:p>
        </w:tc>
      </w:tr>
      <w:tr>
        <w:tc>
          <w:tcPr>
            <w:tcW w:type="dxa" w:w="4320"/>
          </w:tcPr>
          <w:p>
            <w:r>
              <w:t>FUNCASAL</w:t>
            </w:r>
          </w:p>
        </w:tc>
        <w:tc>
          <w:tcPr>
            <w:tcW w:type="dxa" w:w="4320"/>
          </w:tcPr>
          <w:p>
            <w:r>
              <w:t>S4</w:t>
            </w:r>
          </w:p>
        </w:tc>
      </w:tr>
      <w:tr>
        <w:tc>
          <w:tcPr>
            <w:tcW w:type="dxa" w:w="4320"/>
          </w:tcPr>
          <w:p>
            <w:r>
              <w:t>FUND. BRASILSAT</w:t>
            </w:r>
          </w:p>
        </w:tc>
        <w:tc>
          <w:tcPr>
            <w:tcW w:type="dxa" w:w="4320"/>
          </w:tcPr>
          <w:p>
            <w:r>
              <w:t>S4</w:t>
            </w:r>
          </w:p>
        </w:tc>
      </w:tr>
      <w:tr>
        <w:tc>
          <w:tcPr>
            <w:tcW w:type="dxa" w:w="4320"/>
          </w:tcPr>
          <w:p>
            <w:r>
              <w:t>GASIUS</w:t>
            </w:r>
          </w:p>
        </w:tc>
        <w:tc>
          <w:tcPr>
            <w:tcW w:type="dxa" w:w="4320"/>
          </w:tcPr>
          <w:p>
            <w:r>
              <w:t>S4</w:t>
            </w:r>
          </w:p>
        </w:tc>
      </w:tr>
      <w:tr>
        <w:tc>
          <w:tcPr>
            <w:tcW w:type="dxa" w:w="4320"/>
          </w:tcPr>
          <w:p>
            <w:r>
              <w:t>GEIPREV</w:t>
            </w:r>
          </w:p>
        </w:tc>
        <w:tc>
          <w:tcPr>
            <w:tcW w:type="dxa" w:w="4320"/>
          </w:tcPr>
          <w:p>
            <w:r>
              <w:t>S4</w:t>
            </w:r>
          </w:p>
        </w:tc>
      </w:tr>
      <w:tr>
        <w:tc>
          <w:tcPr>
            <w:tcW w:type="dxa" w:w="4320"/>
          </w:tcPr>
          <w:p>
            <w:r>
              <w:t>LILLYPREV</w:t>
            </w:r>
          </w:p>
        </w:tc>
        <w:tc>
          <w:tcPr>
            <w:tcW w:type="dxa" w:w="4320"/>
          </w:tcPr>
          <w:p>
            <w:r>
              <w:t>S4</w:t>
            </w:r>
          </w:p>
        </w:tc>
      </w:tr>
      <w:tr>
        <w:tc>
          <w:tcPr>
            <w:tcW w:type="dxa" w:w="4320"/>
          </w:tcPr>
          <w:p>
            <w:r>
              <w:t>MAIS FUTURO</w:t>
            </w:r>
          </w:p>
        </w:tc>
        <w:tc>
          <w:tcPr>
            <w:tcW w:type="dxa" w:w="4320"/>
          </w:tcPr>
          <w:p>
            <w:r>
              <w:t>S4</w:t>
            </w:r>
          </w:p>
        </w:tc>
      </w:tr>
      <w:tr>
        <w:tc>
          <w:tcPr>
            <w:tcW w:type="dxa" w:w="4320"/>
          </w:tcPr>
          <w:p>
            <w:r>
              <w:t>MERCERPREV</w:t>
            </w:r>
          </w:p>
        </w:tc>
        <w:tc>
          <w:tcPr>
            <w:tcW w:type="dxa" w:w="4320"/>
          </w:tcPr>
          <w:p>
            <w:r>
              <w:t>S4</w:t>
            </w:r>
          </w:p>
        </w:tc>
      </w:tr>
      <w:tr>
        <w:tc>
          <w:tcPr>
            <w:tcW w:type="dxa" w:w="4320"/>
          </w:tcPr>
          <w:p>
            <w:r>
              <w:t>MM PREV</w:t>
            </w:r>
          </w:p>
        </w:tc>
        <w:tc>
          <w:tcPr>
            <w:tcW w:type="dxa" w:w="4320"/>
          </w:tcPr>
          <w:p>
            <w:r>
              <w:t>S4</w:t>
            </w:r>
          </w:p>
        </w:tc>
      </w:tr>
      <w:tr>
        <w:tc>
          <w:tcPr>
            <w:tcW w:type="dxa" w:w="4320"/>
          </w:tcPr>
          <w:p>
            <w:r>
              <w:t>MONGERAL</w:t>
            </w:r>
          </w:p>
        </w:tc>
        <w:tc>
          <w:tcPr>
            <w:tcW w:type="dxa" w:w="4320"/>
          </w:tcPr>
          <w:p>
            <w:r>
              <w:t>S4</w:t>
            </w:r>
          </w:p>
        </w:tc>
      </w:tr>
      <w:tr>
        <w:tc>
          <w:tcPr>
            <w:tcW w:type="dxa" w:w="4320"/>
          </w:tcPr>
          <w:p>
            <w:r>
              <w:t>MÚTUOPREV</w:t>
            </w:r>
          </w:p>
        </w:tc>
        <w:tc>
          <w:tcPr>
            <w:tcW w:type="dxa" w:w="4320"/>
          </w:tcPr>
          <w:p>
            <w:r>
              <w:t>S4</w:t>
            </w:r>
          </w:p>
        </w:tc>
      </w:tr>
      <w:tr>
        <w:tc>
          <w:tcPr>
            <w:tcW w:type="dxa" w:w="4320"/>
          </w:tcPr>
          <w:p>
            <w:r>
              <w:t>OABPREV-GO</w:t>
            </w:r>
          </w:p>
        </w:tc>
        <w:tc>
          <w:tcPr>
            <w:tcW w:type="dxa" w:w="4320"/>
          </w:tcPr>
          <w:p>
            <w:r>
              <w:t>S4</w:t>
            </w:r>
          </w:p>
        </w:tc>
      </w:tr>
      <w:tr>
        <w:tc>
          <w:tcPr>
            <w:tcW w:type="dxa" w:w="4320"/>
          </w:tcPr>
          <w:p>
            <w:r>
              <w:t>OABPREVNORDESTE</w:t>
            </w:r>
          </w:p>
        </w:tc>
        <w:tc>
          <w:tcPr>
            <w:tcW w:type="dxa" w:w="4320"/>
          </w:tcPr>
          <w:p>
            <w:r>
              <w:t>S4</w:t>
            </w:r>
          </w:p>
        </w:tc>
      </w:tr>
      <w:tr>
        <w:tc>
          <w:tcPr>
            <w:tcW w:type="dxa" w:w="4320"/>
          </w:tcPr>
          <w:p>
            <w:r>
              <w:t>OABPREV-RJ</w:t>
            </w:r>
          </w:p>
        </w:tc>
        <w:tc>
          <w:tcPr>
            <w:tcW w:type="dxa" w:w="4320"/>
          </w:tcPr>
          <w:p>
            <w:r>
              <w:t>S4</w:t>
            </w:r>
          </w:p>
        </w:tc>
      </w:tr>
      <w:tr>
        <w:tc>
          <w:tcPr>
            <w:tcW w:type="dxa" w:w="4320"/>
          </w:tcPr>
          <w:p>
            <w:r>
              <w:t>OABPREV-RS</w:t>
            </w:r>
          </w:p>
        </w:tc>
        <w:tc>
          <w:tcPr>
            <w:tcW w:type="dxa" w:w="4320"/>
          </w:tcPr>
          <w:p>
            <w:r>
              <w:t>S4</w:t>
            </w:r>
          </w:p>
        </w:tc>
      </w:tr>
      <w:tr>
        <w:tc>
          <w:tcPr>
            <w:tcW w:type="dxa" w:w="4320"/>
          </w:tcPr>
          <w:p>
            <w:r>
              <w:t>OABPREV-SC</w:t>
            </w:r>
          </w:p>
        </w:tc>
        <w:tc>
          <w:tcPr>
            <w:tcW w:type="dxa" w:w="4320"/>
          </w:tcPr>
          <w:p>
            <w:r>
              <w:t>S4</w:t>
            </w:r>
          </w:p>
        </w:tc>
      </w:tr>
      <w:tr>
        <w:tc>
          <w:tcPr>
            <w:tcW w:type="dxa" w:w="4320"/>
          </w:tcPr>
          <w:p>
            <w:r>
              <w:t>ORIUS</w:t>
            </w:r>
          </w:p>
        </w:tc>
        <w:tc>
          <w:tcPr>
            <w:tcW w:type="dxa" w:w="4320"/>
          </w:tcPr>
          <w:p>
            <w:r>
              <w:t>S4</w:t>
            </w:r>
          </w:p>
        </w:tc>
      </w:tr>
      <w:tr>
        <w:tc>
          <w:tcPr>
            <w:tcW w:type="dxa" w:w="4320"/>
          </w:tcPr>
          <w:p>
            <w:r>
              <w:t>PREVBEP</w:t>
            </w:r>
          </w:p>
        </w:tc>
        <w:tc>
          <w:tcPr>
            <w:tcW w:type="dxa" w:w="4320"/>
          </w:tcPr>
          <w:p>
            <w:r>
              <w:t>S4</w:t>
            </w:r>
          </w:p>
        </w:tc>
      </w:tr>
      <w:tr>
        <w:tc>
          <w:tcPr>
            <w:tcW w:type="dxa" w:w="4320"/>
          </w:tcPr>
          <w:p>
            <w:r>
              <w:t>PREVCOM-BRC</w:t>
            </w:r>
          </w:p>
        </w:tc>
        <w:tc>
          <w:tcPr>
            <w:tcW w:type="dxa" w:w="4320"/>
          </w:tcPr>
          <w:p>
            <w:r>
              <w:t>S4</w:t>
            </w:r>
          </w:p>
        </w:tc>
      </w:tr>
      <w:tr>
        <w:tc>
          <w:tcPr>
            <w:tcW w:type="dxa" w:w="4320"/>
          </w:tcPr>
          <w:p>
            <w:r>
              <w:t>PREVCOM-MG</w:t>
            </w:r>
          </w:p>
        </w:tc>
        <w:tc>
          <w:tcPr>
            <w:tcW w:type="dxa" w:w="4320"/>
          </w:tcPr>
          <w:p>
            <w:r>
              <w:t>S4</w:t>
            </w:r>
          </w:p>
        </w:tc>
      </w:tr>
      <w:tr>
        <w:tc>
          <w:tcPr>
            <w:tcW w:type="dxa" w:w="4320"/>
          </w:tcPr>
          <w:p>
            <w:r>
              <w:t>PREVCUMMINS</w:t>
            </w:r>
          </w:p>
        </w:tc>
        <w:tc>
          <w:tcPr>
            <w:tcW w:type="dxa" w:w="4320"/>
          </w:tcPr>
          <w:p>
            <w:r>
              <w:t>S4</w:t>
            </w:r>
          </w:p>
        </w:tc>
      </w:tr>
      <w:tr>
        <w:tc>
          <w:tcPr>
            <w:tcW w:type="dxa" w:w="4320"/>
          </w:tcPr>
          <w:p>
            <w:r>
              <w:t>PREVEME II</w:t>
            </w:r>
          </w:p>
        </w:tc>
        <w:tc>
          <w:tcPr>
            <w:tcW w:type="dxa" w:w="4320"/>
          </w:tcPr>
          <w:p>
            <w:r>
              <w:t>S4</w:t>
            </w:r>
          </w:p>
        </w:tc>
      </w:tr>
      <w:tr>
        <w:tc>
          <w:tcPr>
            <w:tcW w:type="dxa" w:w="4320"/>
          </w:tcPr>
          <w:p>
            <w:r>
              <w:t>PREVES</w:t>
            </w:r>
          </w:p>
        </w:tc>
        <w:tc>
          <w:tcPr>
            <w:tcW w:type="dxa" w:w="4320"/>
          </w:tcPr>
          <w:p>
            <w:r>
              <w:t>S4</w:t>
            </w:r>
          </w:p>
        </w:tc>
      </w:tr>
      <w:tr>
        <w:tc>
          <w:tcPr>
            <w:tcW w:type="dxa" w:w="4320"/>
          </w:tcPr>
          <w:p>
            <w:r>
              <w:t>PREVHAB</w:t>
            </w:r>
          </w:p>
        </w:tc>
        <w:tc>
          <w:tcPr>
            <w:tcW w:type="dxa" w:w="4320"/>
          </w:tcPr>
          <w:p>
            <w:r>
              <w:t>S4</w:t>
            </w:r>
          </w:p>
        </w:tc>
      </w:tr>
      <w:tr>
        <w:tc>
          <w:tcPr>
            <w:tcW w:type="dxa" w:w="4320"/>
          </w:tcPr>
          <w:p>
            <w:r>
              <w:t>PREVICEL</w:t>
            </w:r>
          </w:p>
        </w:tc>
        <w:tc>
          <w:tcPr>
            <w:tcW w:type="dxa" w:w="4320"/>
          </w:tcPr>
          <w:p>
            <w:r>
              <w:t>S4</w:t>
            </w:r>
          </w:p>
        </w:tc>
      </w:tr>
      <w:tr>
        <w:tc>
          <w:tcPr>
            <w:tcW w:type="dxa" w:w="4320"/>
          </w:tcPr>
          <w:p>
            <w:r>
              <w:t>PREVIK</w:t>
            </w:r>
          </w:p>
        </w:tc>
        <w:tc>
          <w:tcPr>
            <w:tcW w:type="dxa" w:w="4320"/>
          </w:tcPr>
          <w:p>
            <w:r>
              <w:t>S4</w:t>
            </w:r>
          </w:p>
        </w:tc>
      </w:tr>
      <w:tr>
        <w:tc>
          <w:tcPr>
            <w:tcW w:type="dxa" w:w="4320"/>
          </w:tcPr>
          <w:p>
            <w:r>
              <w:t>PREVIP</w:t>
            </w:r>
          </w:p>
        </w:tc>
        <w:tc>
          <w:tcPr>
            <w:tcW w:type="dxa" w:w="4320"/>
          </w:tcPr>
          <w:p>
            <w:r>
              <w:t>S4</w:t>
            </w:r>
          </w:p>
        </w:tc>
      </w:tr>
      <w:tr>
        <w:tc>
          <w:tcPr>
            <w:tcW w:type="dxa" w:w="4320"/>
          </w:tcPr>
          <w:p>
            <w:r>
              <w:t>PREVISCANIA</w:t>
            </w:r>
          </w:p>
        </w:tc>
        <w:tc>
          <w:tcPr>
            <w:tcW w:type="dxa" w:w="4320"/>
          </w:tcPr>
          <w:p>
            <w:r>
              <w:t>S4</w:t>
            </w:r>
          </w:p>
        </w:tc>
      </w:tr>
      <w:tr>
        <w:tc>
          <w:tcPr>
            <w:tcW w:type="dxa" w:w="4320"/>
          </w:tcPr>
          <w:p>
            <w:r>
              <w:t>PREVISTIHL</w:t>
            </w:r>
          </w:p>
        </w:tc>
        <w:tc>
          <w:tcPr>
            <w:tcW w:type="dxa" w:w="4320"/>
          </w:tcPr>
          <w:p>
            <w:r>
              <w:t>S4</w:t>
            </w:r>
          </w:p>
        </w:tc>
      </w:tr>
      <w:tr>
        <w:tc>
          <w:tcPr>
            <w:tcW w:type="dxa" w:w="4320"/>
          </w:tcPr>
          <w:p>
            <w:r>
              <w:t>PREVSOMPO</w:t>
            </w:r>
          </w:p>
        </w:tc>
        <w:tc>
          <w:tcPr>
            <w:tcW w:type="dxa" w:w="4320"/>
          </w:tcPr>
          <w:p>
            <w:r>
              <w:t>S4</w:t>
            </w:r>
          </w:p>
        </w:tc>
      </w:tr>
      <w:tr>
        <w:tc>
          <w:tcPr>
            <w:tcW w:type="dxa" w:w="4320"/>
          </w:tcPr>
          <w:p>
            <w:r>
              <w:t>PREVUNISUL</w:t>
            </w:r>
          </w:p>
        </w:tc>
        <w:tc>
          <w:tcPr>
            <w:tcW w:type="dxa" w:w="4320"/>
          </w:tcPr>
          <w:p>
            <w:r>
              <w:t>S4</w:t>
            </w:r>
          </w:p>
        </w:tc>
      </w:tr>
      <w:tr>
        <w:tc>
          <w:tcPr>
            <w:tcW w:type="dxa" w:w="4320"/>
          </w:tcPr>
          <w:p>
            <w:r>
              <w:t>RBS PREV</w:t>
            </w:r>
          </w:p>
        </w:tc>
        <w:tc>
          <w:tcPr>
            <w:tcW w:type="dxa" w:w="4320"/>
          </w:tcPr>
          <w:p>
            <w:r>
              <w:t>S4</w:t>
            </w:r>
          </w:p>
        </w:tc>
      </w:tr>
      <w:tr>
        <w:tc>
          <w:tcPr>
            <w:tcW w:type="dxa" w:w="4320"/>
          </w:tcPr>
          <w:p>
            <w:r>
              <w:t>RECKITTPREV</w:t>
            </w:r>
          </w:p>
        </w:tc>
        <w:tc>
          <w:tcPr>
            <w:tcW w:type="dxa" w:w="4320"/>
          </w:tcPr>
          <w:p>
            <w:r>
              <w:t>S4</w:t>
            </w:r>
          </w:p>
        </w:tc>
      </w:tr>
      <w:tr>
        <w:tc>
          <w:tcPr>
            <w:tcW w:type="dxa" w:w="4320"/>
          </w:tcPr>
          <w:p>
            <w:r>
              <w:t>RJPREV</w:t>
            </w:r>
          </w:p>
        </w:tc>
        <w:tc>
          <w:tcPr>
            <w:tcW w:type="dxa" w:w="4320"/>
          </w:tcPr>
          <w:p>
            <w:r>
              <w:t>S4</w:t>
            </w:r>
          </w:p>
        </w:tc>
      </w:tr>
      <w:tr>
        <w:tc>
          <w:tcPr>
            <w:tcW w:type="dxa" w:w="4320"/>
          </w:tcPr>
          <w:p>
            <w:r>
              <w:t>RS-PREV</w:t>
            </w:r>
          </w:p>
        </w:tc>
        <w:tc>
          <w:tcPr>
            <w:tcW w:type="dxa" w:w="4320"/>
          </w:tcPr>
          <w:p>
            <w:r>
              <w:t>S4</w:t>
            </w:r>
          </w:p>
        </w:tc>
      </w:tr>
      <w:tr>
        <w:tc>
          <w:tcPr>
            <w:tcW w:type="dxa" w:w="4320"/>
          </w:tcPr>
          <w:p>
            <w:r>
              <w:t>SBOTPREV</w:t>
            </w:r>
          </w:p>
        </w:tc>
        <w:tc>
          <w:tcPr>
            <w:tcW w:type="dxa" w:w="4320"/>
          </w:tcPr>
          <w:p>
            <w:r>
              <w:t>S4</w:t>
            </w:r>
          </w:p>
        </w:tc>
      </w:tr>
      <w:tr>
        <w:tc>
          <w:tcPr>
            <w:tcW w:type="dxa" w:w="4320"/>
          </w:tcPr>
          <w:p>
            <w:r>
              <w:t>SIAS</w:t>
            </w:r>
          </w:p>
        </w:tc>
        <w:tc>
          <w:tcPr>
            <w:tcW w:type="dxa" w:w="4320"/>
          </w:tcPr>
          <w:p>
            <w:r>
              <w:t>S4</w:t>
            </w:r>
          </w:p>
        </w:tc>
      </w:tr>
      <w:tr>
        <w:tc>
          <w:tcPr>
            <w:tcW w:type="dxa" w:w="4320"/>
          </w:tcPr>
          <w:p>
            <w:r>
              <w:t>SILIUS</w:t>
            </w:r>
          </w:p>
        </w:tc>
        <w:tc>
          <w:tcPr>
            <w:tcW w:type="dxa" w:w="4320"/>
          </w:tcPr>
          <w:p>
            <w:r>
              <w:t>S4</w:t>
            </w:r>
          </w:p>
        </w:tc>
      </w:tr>
      <w:tr>
        <w:tc>
          <w:tcPr>
            <w:tcW w:type="dxa" w:w="4320"/>
          </w:tcPr>
          <w:p>
            <w:r>
              <w:t>SOMUPP</w:t>
            </w:r>
          </w:p>
        </w:tc>
        <w:tc>
          <w:tcPr>
            <w:tcW w:type="dxa" w:w="4320"/>
          </w:tcPr>
          <w:p>
            <w:r>
              <w:t>S4</w:t>
            </w:r>
          </w:p>
        </w:tc>
      </w:tr>
      <w:tr>
        <w:tc>
          <w:tcPr>
            <w:tcW w:type="dxa" w:w="4320"/>
          </w:tcPr>
          <w:p>
            <w:r>
              <w:t>SUL PREVIDÊNCIA</w:t>
            </w:r>
          </w:p>
        </w:tc>
        <w:tc>
          <w:tcPr>
            <w:tcW w:type="dxa" w:w="4320"/>
          </w:tcPr>
          <w:p>
            <w:r>
              <w:t>S4</w:t>
            </w:r>
          </w:p>
        </w:tc>
      </w:tr>
      <w:tr>
        <w:tc>
          <w:tcPr>
            <w:tcW w:type="dxa" w:w="4320"/>
          </w:tcPr>
          <w:p>
            <w:r>
              <w:t>TETRA PAK PREV</w:t>
            </w:r>
          </w:p>
        </w:tc>
        <w:tc>
          <w:tcPr>
            <w:tcW w:type="dxa" w:w="4320"/>
          </w:tcPr>
          <w:p>
            <w:r>
              <w:t>S4</w:t>
            </w:r>
          </w:p>
        </w:tc>
      </w:tr>
      <w:tr>
        <w:tc>
          <w:tcPr>
            <w:tcW w:type="dxa" w:w="4320"/>
          </w:tcPr>
          <w:p>
            <w:r>
              <w:t>TEXPREV</w:t>
            </w:r>
          </w:p>
        </w:tc>
        <w:tc>
          <w:tcPr>
            <w:tcW w:type="dxa" w:w="4320"/>
          </w:tcPr>
          <w:p>
            <w:r>
              <w:t>S4</w:t>
            </w:r>
          </w:p>
        </w:tc>
      </w:tr>
      <w:tr>
        <w:tc>
          <w:tcPr>
            <w:tcW w:type="dxa" w:w="4320"/>
          </w:tcPr>
          <w:p>
            <w:r>
              <w:t>TOYOTA PREVI</w:t>
            </w:r>
          </w:p>
        </w:tc>
        <w:tc>
          <w:tcPr>
            <w:tcW w:type="dxa" w:w="4320"/>
          </w:tcPr>
          <w:p>
            <w:r>
              <w:t>S4</w:t>
            </w:r>
          </w:p>
        </w:tc>
      </w:tr>
      <w:tr>
        <w:tc>
          <w:tcPr>
            <w:tcW w:type="dxa" w:w="4320"/>
          </w:tcPr>
          <w:p>
            <w:r>
              <w:t>TRAMONTINAPREV</w:t>
            </w:r>
          </w:p>
        </w:tc>
        <w:tc>
          <w:tcPr>
            <w:tcW w:type="dxa" w:w="4320"/>
          </w:tcPr>
          <w:p>
            <w:r>
              <w:t>S4</w:t>
            </w:r>
          </w:p>
        </w:tc>
      </w:tr>
      <w:tr>
        <w:tc>
          <w:tcPr>
            <w:tcW w:type="dxa" w:w="4320"/>
          </w:tcPr>
          <w:p>
            <w:r>
              <w:t>UNIPREVI</w:t>
            </w:r>
          </w:p>
        </w:tc>
        <w:tc>
          <w:tcPr>
            <w:tcW w:type="dxa" w:w="4320"/>
          </w:tcPr>
          <w:p>
            <w:r>
              <w:t>S4</w:t>
            </w:r>
          </w:p>
        </w:tc>
      </w:tr>
      <w:tr>
        <w:tc>
          <w:tcPr>
            <w:tcW w:type="dxa" w:w="4320"/>
          </w:tcPr>
          <w:p>
            <w:r>
              <w:t>UNISYS-PREVI</w:t>
            </w:r>
          </w:p>
        </w:tc>
        <w:tc>
          <w:tcPr>
            <w:tcW w:type="dxa" w:w="4320"/>
          </w:tcPr>
          <w:p>
            <w:r>
              <w:t>S4</w:t>
            </w:r>
          </w:p>
        </w:tc>
      </w:tr>
      <w:tr>
        <w:tc>
          <w:tcPr>
            <w:tcW w:type="dxa" w:w="4320"/>
          </w:tcPr>
          <w:p>
            <w:r>
              <w:t>VBPP</w:t>
            </w:r>
          </w:p>
        </w:tc>
        <w:tc>
          <w:tcPr>
            <w:tcW w:type="dxa" w:w="4320"/>
          </w:tcPr>
          <w:p>
            <w:r>
              <w:t>S4</w:t>
            </w:r>
          </w:p>
        </w:tc>
      </w:tr>
      <w:tr>
        <w:tc>
          <w:tcPr>
            <w:tcW w:type="dxa" w:w="4320"/>
          </w:tcPr>
          <w:p>
            <w:r>
              <w:t>VOITH PREV</w:t>
            </w:r>
          </w:p>
        </w:tc>
        <w:tc>
          <w:tcPr>
            <w:tcW w:type="dxa" w:w="4320"/>
          </w:tcPr>
          <w:p>
            <w:r>
              <w:t>S4</w:t>
            </w:r>
          </w:p>
        </w:tc>
      </w:tr>
    </w:tbl>
    <w:p/>
    <w:p>
      <w:r>
        <w:t>FAPERS</w:t>
      </w:r>
    </w:p>
    <w:p>
      <w:r>
        <w:t>S3</w:t>
      </w:r>
    </w:p>
    <w:p>
      <w:r>
        <w:t>FASC</w:t>
      </w:r>
    </w:p>
    <w:p>
      <w:r>
        <w:t>S3</w:t>
      </w:r>
    </w:p>
    <w:p>
      <w:r>
        <w:t>FGV-PREVI</w:t>
      </w:r>
    </w:p>
    <w:p>
      <w:r>
        <w:t>S3</w:t>
      </w:r>
    </w:p>
    <w:p>
      <w:r>
        <w:t>FIPECQ</w:t>
      </w:r>
    </w:p>
    <w:p>
      <w:r>
        <w:t>S3</w:t>
      </w:r>
    </w:p>
    <w:p>
      <w:r>
        <w:t>FUNDACAO CORSAN</w:t>
      </w:r>
    </w:p>
    <w:p>
      <w:r>
        <w:t>S3</w:t>
      </w:r>
    </w:p>
    <w:p>
      <w:r>
        <w:t>FUNDAMBRAS</w:t>
      </w:r>
    </w:p>
    <w:p>
      <w:r>
        <w:t>S3</w:t>
      </w:r>
    </w:p>
    <w:p>
      <w:r>
        <w:t>FUNDIAGUA</w:t>
      </w:r>
    </w:p>
    <w:p>
      <w:r>
        <w:t>S3</w:t>
      </w:r>
    </w:p>
    <w:p>
      <w:r>
        <w:t>FUNSEJEM</w:t>
      </w:r>
    </w:p>
    <w:p>
      <w:r>
        <w:t>S3</w:t>
      </w:r>
    </w:p>
    <w:p>
      <w:r>
        <w:t>FUTURA PREV</w:t>
      </w:r>
    </w:p>
    <w:p>
      <w:r>
        <w:t>S3</w:t>
      </w:r>
    </w:p>
    <w:p>
      <w:r>
        <w:t>FUTURAMAIS</w:t>
      </w:r>
    </w:p>
    <w:p>
      <w:r>
        <w:t>S3</w:t>
      </w:r>
    </w:p>
    <w:p>
      <w:r>
        <w:t>IAJA</w:t>
      </w:r>
    </w:p>
    <w:p>
      <w:r>
        <w:t>S3</w:t>
      </w:r>
    </w:p>
    <w:p>
      <w:r>
        <w:t>INDUSPREVI</w:t>
      </w:r>
    </w:p>
    <w:p>
      <w:r>
        <w:t>S3</w:t>
      </w:r>
    </w:p>
    <w:p>
      <w:r>
        <w:t>INOVAR PREVIDENCIA</w:t>
      </w:r>
    </w:p>
    <w:p>
      <w:r>
        <w:t>S3</w:t>
      </w:r>
    </w:p>
    <w:p>
      <w:r>
        <w:t>ISBRE</w:t>
      </w:r>
    </w:p>
    <w:p>
      <w:r>
        <w:t>S3</w:t>
      </w:r>
    </w:p>
    <w:p>
      <w:r>
        <w:t>JOHNSON</w:t>
      </w:r>
    </w:p>
    <w:p>
      <w:r>
        <w:t>S3</w:t>
      </w:r>
    </w:p>
    <w:p>
      <w:r>
        <w:t>JUSPREV</w:t>
      </w:r>
    </w:p>
    <w:p>
      <w:r>
        <w:t>S3</w:t>
      </w:r>
    </w:p>
    <w:p>
      <w:r>
        <w:t>KPMG PREV</w:t>
      </w:r>
    </w:p>
    <w:p>
      <w:r>
        <w:t>S3</w:t>
      </w:r>
    </w:p>
    <w:p>
      <w:r>
        <w:t>MAIS VIDA PREV</w:t>
      </w:r>
    </w:p>
    <w:p>
      <w:r>
        <w:t>S3</w:t>
      </w:r>
    </w:p>
    <w:p>
      <w:r>
        <w:t>MARCOPREV</w:t>
      </w:r>
    </w:p>
    <w:p>
      <w:r>
        <w:t>S3</w:t>
      </w:r>
    </w:p>
    <w:p>
      <w:r>
        <w:t>MAUA PREV</w:t>
      </w:r>
    </w:p>
    <w:p>
      <w:r>
        <w:t>S3</w:t>
      </w:r>
    </w:p>
    <w:p>
      <w:r>
        <w:t>MBPREV</w:t>
      </w:r>
    </w:p>
    <w:p>
      <w:r>
        <w:t>S3</w:t>
      </w:r>
    </w:p>
    <w:p>
      <w:r>
        <w:t>MSD PREV</w:t>
      </w:r>
    </w:p>
    <w:p>
      <w:r>
        <w:t>S3</w:t>
      </w:r>
    </w:p>
    <w:p>
      <w:r>
        <w:t>OABPREV-MG</w:t>
      </w:r>
    </w:p>
    <w:p>
      <w:r>
        <w:t>S3</w:t>
      </w:r>
    </w:p>
    <w:p>
      <w:r>
        <w:t>OABPREV-PR</w:t>
      </w:r>
    </w:p>
    <w:p>
      <w:r>
        <w:t>S3</w:t>
      </w:r>
    </w:p>
    <w:p>
      <w:r>
        <w:t>OABPREV-SP</w:t>
      </w:r>
    </w:p>
    <w:p>
      <w:r>
        <w:t>S3</w:t>
      </w:r>
    </w:p>
    <w:p>
      <w:r>
        <w:t>P&amp;G PREV</w:t>
      </w:r>
    </w:p>
    <w:p>
      <w:r>
        <w:t>S3</w:t>
      </w:r>
    </w:p>
    <w:p>
      <w:r>
        <w:t>PLANEJAR</w:t>
      </w:r>
    </w:p>
    <w:p>
      <w:r>
        <w:t>S3</w:t>
      </w:r>
    </w:p>
    <w:p>
      <w:r>
        <w:t>PORTOPREV</w:t>
      </w:r>
    </w:p>
    <w:p>
      <w:r>
        <w:t>S3</w:t>
      </w:r>
    </w:p>
    <w:p>
      <w:r>
        <w:t>PORTUS</w:t>
      </w:r>
    </w:p>
    <w:p>
      <w:r>
        <w:t>S3</w:t>
      </w:r>
    </w:p>
    <w:p>
      <w:r>
        <w:t>POUPREV</w:t>
      </w:r>
    </w:p>
    <w:p>
      <w:r>
        <w:t>S3</w:t>
      </w:r>
    </w:p>
    <w:p>
      <w:r>
        <w:t>PREV PEPSICO</w:t>
      </w:r>
    </w:p>
    <w:p>
      <w:r>
        <w:t>S3</w:t>
      </w:r>
    </w:p>
    <w:p>
      <w:r>
        <w:t>PREVDATA</w:t>
      </w:r>
    </w:p>
    <w:p>
      <w:r>
        <w:t>S3</w:t>
      </w:r>
    </w:p>
    <w:p>
      <w:r>
        <w:t>PREVDOW</w:t>
      </w:r>
    </w:p>
    <w:p>
      <w:r>
        <w:t>S3</w:t>
      </w:r>
    </w:p>
    <w:p>
      <w:r>
        <w:t>PREVEME</w:t>
      </w:r>
    </w:p>
    <w:p>
      <w:r>
        <w:t>S3</w:t>
      </w:r>
    </w:p>
    <w:p>
      <w:r>
        <w:t>PREVI NOVARTIS</w:t>
      </w:r>
    </w:p>
    <w:p>
      <w:r>
        <w:t>S3</w:t>
      </w:r>
    </w:p>
    <w:p>
      <w:r>
        <w:t>PREVIBOSCH</w:t>
      </w:r>
    </w:p>
    <w:p>
      <w:r>
        <w:t>S3</w:t>
      </w:r>
    </w:p>
    <w:p>
      <w:r>
        <w:t>PREVICAT</w:t>
      </w:r>
    </w:p>
    <w:p>
      <w:r>
        <w:t>S3</w:t>
      </w:r>
    </w:p>
    <w:p>
      <w:r>
        <w:t>PREVICOKE</w:t>
      </w:r>
    </w:p>
    <w:p>
      <w:r>
        <w:t>S3</w:t>
      </w:r>
    </w:p>
    <w:p>
      <w:r>
        <w:t>PREVIDEXXONMOBIL</w:t>
      </w:r>
    </w:p>
    <w:p>
      <w:r>
        <w:t>S3</w:t>
      </w:r>
    </w:p>
    <w:p>
      <w:r>
        <w:t>PREVIHONDA</w:t>
      </w:r>
    </w:p>
    <w:p>
      <w:r>
        <w:t>S3</w:t>
      </w:r>
    </w:p>
    <w:p>
      <w:r>
        <w:t>PREVIM</w:t>
      </w:r>
    </w:p>
    <w:p>
      <w:r>
        <w:t>S3</w:t>
      </w:r>
    </w:p>
    <w:p>
      <w:r>
        <w:t>PREVINDUS</w:t>
      </w:r>
    </w:p>
    <w:p>
      <w:r>
        <w:t>S3</w:t>
      </w:r>
    </w:p>
    <w:p>
      <w:r>
        <w:t>PREVIPLAN</w:t>
      </w:r>
    </w:p>
    <w:p>
      <w:r>
        <w:t>S3</w:t>
      </w:r>
    </w:p>
    <w:p>
      <w:r>
        <w:t>PREVIRB</w:t>
      </w:r>
    </w:p>
    <w:p>
      <w:r>
        <w:t>S3</w:t>
      </w:r>
    </w:p>
    <w:p>
      <w:r>
        <w:t>PREVI-SIEMENS</w:t>
      </w:r>
    </w:p>
    <w:p>
      <w:r>
        <w:t>S3</w:t>
      </w:r>
    </w:p>
    <w:p>
      <w:r>
        <w:t>PREVNORDESTE</w:t>
      </w:r>
    </w:p>
    <w:p>
      <w:r>
        <w:t>S3</w:t>
      </w:r>
    </w:p>
    <w:p>
      <w:r>
        <w:t>PREVSAN</w:t>
      </w:r>
    </w:p>
    <w:p>
      <w:r>
        <w:t>S3</w:t>
      </w:r>
    </w:p>
    <w:p>
      <w:r>
        <w:t>PREVUNIAO</w:t>
      </w:r>
    </w:p>
    <w:p>
      <w:r>
        <w:t>S3</w:t>
      </w:r>
    </w:p>
    <w:p>
      <w:r>
        <w:t>PRHOSPER</w:t>
      </w:r>
    </w:p>
    <w:p>
      <w:r>
        <w:t>S3</w:t>
      </w:r>
    </w:p>
    <w:p>
      <w:r>
        <w:t>PROMON</w:t>
      </w:r>
    </w:p>
    <w:p>
      <w:r>
        <w:t>S3</w:t>
      </w:r>
    </w:p>
    <w:p>
      <w:r>
        <w:t>RANDONPREV</w:t>
      </w:r>
    </w:p>
    <w:p>
      <w:r>
        <w:t>S3</w:t>
      </w:r>
    </w:p>
    <w:p>
      <w:r>
        <w:t>RUMOS</w:t>
      </w:r>
    </w:p>
    <w:p>
      <w:r>
        <w:t>S3</w:t>
      </w:r>
    </w:p>
    <w:p>
      <w:r>
        <w:t>SAO FRANCISCO</w:t>
      </w:r>
    </w:p>
    <w:p>
      <w:r>
        <w:t>S3</w:t>
      </w:r>
    </w:p>
    <w:p>
      <w:r>
        <w:t>SAO RAFAEL</w:t>
      </w:r>
    </w:p>
    <w:p>
      <w:r>
        <w:t>S3</w:t>
      </w:r>
    </w:p>
    <w:p>
      <w:r>
        <w:t>SARAH PREVIDÊNCIA</w:t>
      </w:r>
    </w:p>
    <w:p>
      <w:r>
        <w:t>S3</w:t>
      </w:r>
    </w:p>
    <w:p>
      <w:r>
        <w:t>SCPREV</w:t>
      </w:r>
    </w:p>
    <w:p>
      <w:r>
        <w:t>S3</w:t>
      </w:r>
    </w:p>
    <w:p>
      <w:r>
        <w:t>SEBRAE PREVIDENCIA</w:t>
      </w:r>
    </w:p>
    <w:p>
      <w:r>
        <w:t>S3</w:t>
      </w:r>
    </w:p>
    <w:p>
      <w:r>
        <w:t>SERGUS</w:t>
      </w:r>
    </w:p>
    <w:p>
      <w:r>
        <w:t>S3</w:t>
      </w:r>
    </w:p>
    <w:p>
      <w:r>
        <w:t>SUPREV</w:t>
      </w:r>
    </w:p>
    <w:p>
      <w:r>
        <w:t>S3</w:t>
      </w:r>
    </w:p>
    <w:p>
      <w:r>
        <w:t>SYNGENTA PREVI</w:t>
      </w:r>
    </w:p>
    <w:p>
      <w:r>
        <w:t>S3</w:t>
      </w:r>
    </w:p>
    <w:p>
      <w:r>
        <w:t>ULTRAPREV</w:t>
      </w:r>
    </w:p>
    <w:p>
      <w:r>
        <w:t>S3</w:t>
      </w:r>
    </w:p>
    <w:p>
      <w:r>
        <w:t>VALUE PREV</w:t>
      </w:r>
    </w:p>
    <w:p>
      <w:r>
        <w:t>S3</w:t>
      </w:r>
    </w:p>
    <w:p>
      <w:r>
        <w:t>VIKINGPREV</w:t>
      </w:r>
    </w:p>
    <w:p>
      <w:r>
        <w:t>S3</w:t>
      </w:r>
    </w:p>
    <w:p>
      <w:r>
        <w:t>ALBAPREV</w:t>
      </w:r>
    </w:p>
    <w:p>
      <w:r>
        <w:t>S4</w:t>
      </w:r>
    </w:p>
    <w:p>
      <w:r>
        <w:t>ALEPEPREV</w:t>
      </w:r>
    </w:p>
    <w:p>
      <w:r>
        <w:t>S4</w:t>
      </w:r>
    </w:p>
    <w:p>
      <w:r>
        <w:t>ALPHA</w:t>
      </w:r>
    </w:p>
    <w:p>
      <w:r>
        <w:t>S4</w:t>
      </w:r>
    </w:p>
    <w:p>
      <w:r>
        <w:t>ALPREV</w:t>
      </w:r>
    </w:p>
    <w:p>
      <w:r>
        <w:t>S4</w:t>
      </w:r>
    </w:p>
    <w:p>
      <w:r>
        <w:t>ANABBPREV</w:t>
      </w:r>
    </w:p>
    <w:p>
      <w:r>
        <w:t>S4</w:t>
      </w:r>
    </w:p>
    <w:p>
      <w:r>
        <w:t>BOSCHPREV</w:t>
      </w:r>
    </w:p>
    <w:p>
      <w:r>
        <w:t>S4</w:t>
      </w:r>
    </w:p>
    <w:p>
      <w:r>
        <w:t>CABEC</w:t>
      </w:r>
    </w:p>
    <w:p>
      <w:r>
        <w:t>S4</w:t>
      </w:r>
    </w:p>
    <w:p>
      <w:r>
        <w:t>CAGEPREV</w:t>
      </w:r>
    </w:p>
    <w:p>
      <w:r>
        <w:t>S4</w:t>
      </w:r>
    </w:p>
    <w:p>
      <w:r>
        <w:t>CAPITAL PREV</w:t>
      </w:r>
    </w:p>
    <w:p>
      <w:r>
        <w:t>S4</w:t>
      </w:r>
    </w:p>
    <w:p>
      <w:r>
        <w:t>CAPOF</w:t>
      </w:r>
    </w:p>
    <w:p>
      <w:r>
        <w:t>S4</w:t>
      </w:r>
    </w:p>
    <w:p>
      <w:r>
        <w:t>CASANPREV</w:t>
      </w:r>
    </w:p>
    <w:p>
      <w:r>
        <w:t>S4</w:t>
      </w:r>
    </w:p>
    <w:p>
      <w:r>
        <w:t>CE-PREVCOM</w:t>
      </w:r>
    </w:p>
    <w:p>
      <w:r>
        <w:t>S4</w:t>
      </w:r>
    </w:p>
    <w:p>
      <w:r>
        <w:t>CIASPREV</w:t>
      </w:r>
    </w:p>
    <w:p>
      <w:r>
        <w:t>S4</w:t>
      </w:r>
    </w:p>
    <w:p>
      <w:r>
        <w:t>CIFRAO</w:t>
      </w:r>
    </w:p>
    <w:p>
      <w:r>
        <w:t>S4</w:t>
      </w:r>
    </w:p>
    <w:p>
      <w:r>
        <w:t>CURITIBAPREV</w:t>
      </w:r>
    </w:p>
    <w:p>
      <w:r>
        <w:t>S4</w:t>
      </w:r>
    </w:p>
    <w:p>
      <w:r>
        <w:t>DANAPREV</w:t>
      </w:r>
    </w:p>
    <w:p>
      <w:r>
        <w:t>S4</w:t>
      </w:r>
    </w:p>
    <w:p>
      <w:r>
        <w:t>DATUSPREV</w:t>
      </w:r>
    </w:p>
    <w:p>
      <w:r>
        <w:t>S4</w:t>
      </w:r>
    </w:p>
    <w:p>
      <w:r>
        <w:t>DERMINAS</w:t>
      </w:r>
    </w:p>
    <w:p>
      <w:r>
        <w:t>S4</w:t>
      </w:r>
    </w:p>
    <w:p>
      <w:r>
        <w:t>DF-PREVICOM</w:t>
      </w:r>
    </w:p>
    <w:p>
      <w:r>
        <w:t>S4</w:t>
      </w:r>
    </w:p>
    <w:p>
      <w:r>
        <w:t>FAPECE</w:t>
      </w:r>
    </w:p>
    <w:p>
      <w:r>
        <w:t>S4</w:t>
      </w:r>
    </w:p>
    <w:p>
      <w:r>
        <w:t>FUCAP</w:t>
      </w:r>
    </w:p>
    <w:p>
      <w:r>
        <w:t>S4</w:t>
      </w:r>
    </w:p>
    <w:p>
      <w:r>
        <w:t>FUMPRESC</w:t>
      </w:r>
    </w:p>
    <w:p>
      <w:r>
        <w:t>S4</w:t>
      </w:r>
    </w:p>
    <w:p>
      <w:r>
        <w:t>FUNCASAL</w:t>
      </w:r>
    </w:p>
    <w:p>
      <w:r>
        <w:t>S4</w:t>
      </w:r>
    </w:p>
    <w:p>
      <w:r>
        <w:t>FUND. BRASILSAT</w:t>
      </w:r>
    </w:p>
    <w:p>
      <w:r>
        <w:t>S4</w:t>
      </w:r>
    </w:p>
    <w:p>
      <w:r>
        <w:t>GASIUS</w:t>
      </w:r>
    </w:p>
    <w:p>
      <w:r>
        <w:t>S4</w:t>
      </w:r>
    </w:p>
    <w:p>
      <w:r>
        <w:t>GEIPREV</w:t>
      </w:r>
    </w:p>
    <w:p>
      <w:r>
        <w:t>S4</w:t>
      </w:r>
    </w:p>
    <w:p>
      <w:r>
        <w:t>LILLYPREV</w:t>
      </w:r>
    </w:p>
    <w:p>
      <w:r>
        <w:t>S4</w:t>
      </w:r>
    </w:p>
    <w:p>
      <w:r>
        <w:t>MAIS FUTURO</w:t>
      </w:r>
    </w:p>
    <w:p>
      <w:r>
        <w:t>S4</w:t>
      </w:r>
    </w:p>
    <w:p>
      <w:r>
        <w:t>MERCERPREV</w:t>
      </w:r>
    </w:p>
    <w:p>
      <w:r>
        <w:t>S4</w:t>
      </w:r>
    </w:p>
    <w:p>
      <w:r>
        <w:t>MM PREV</w:t>
      </w:r>
    </w:p>
    <w:p>
      <w:r>
        <w:t>S4</w:t>
      </w:r>
    </w:p>
    <w:p>
      <w:r>
        <w:t>MONGERAL</w:t>
      </w:r>
    </w:p>
    <w:p>
      <w:r>
        <w:t>S4</w:t>
      </w:r>
    </w:p>
    <w:p>
      <w:r>
        <w:t>MÚTUOPREV</w:t>
      </w:r>
    </w:p>
    <w:p>
      <w:r>
        <w:t>S4</w:t>
      </w:r>
    </w:p>
    <w:p>
      <w:r>
        <w:t>OABPREV-GO</w:t>
      </w:r>
    </w:p>
    <w:p>
      <w:r>
        <w:t>S4</w:t>
      </w:r>
    </w:p>
    <w:p>
      <w:r>
        <w:t>OABPREVNORDESTE</w:t>
      </w:r>
    </w:p>
    <w:p>
      <w:r>
        <w:t>S4</w:t>
      </w:r>
    </w:p>
    <w:p>
      <w:r>
        <w:t>OABPREV-RJ</w:t>
      </w:r>
    </w:p>
    <w:p>
      <w:r>
        <w:t>S4</w:t>
      </w:r>
    </w:p>
    <w:p>
      <w:r>
        <w:t>OABPREV-RS</w:t>
      </w:r>
    </w:p>
    <w:p>
      <w:r>
        <w:t>S4</w:t>
      </w:r>
    </w:p>
    <w:p>
      <w:r>
        <w:t>OABPREV-SC</w:t>
      </w:r>
    </w:p>
    <w:p>
      <w:r>
        <w:t>S4</w:t>
      </w:r>
    </w:p>
    <w:p>
      <w:r>
        <w:t>ORIUS</w:t>
      </w:r>
    </w:p>
    <w:p>
      <w:r>
        <w:t>S4</w:t>
      </w:r>
    </w:p>
    <w:p>
      <w:r>
        <w:t>PREVBEP</w:t>
      </w:r>
    </w:p>
    <w:p>
      <w:r>
        <w:t>S4</w:t>
      </w:r>
    </w:p>
    <w:p>
      <w:r>
        <w:t>PREVCOM-BRC</w:t>
      </w:r>
    </w:p>
    <w:p>
      <w:r>
        <w:t>S4</w:t>
      </w:r>
    </w:p>
    <w:p>
      <w:r>
        <w:t>PREVCOM-MG</w:t>
      </w:r>
    </w:p>
    <w:p>
      <w:r>
        <w:t>S4</w:t>
      </w:r>
    </w:p>
    <w:p>
      <w:r>
        <w:t>PREVCUMMINS</w:t>
      </w:r>
    </w:p>
    <w:p>
      <w:r>
        <w:t>S4</w:t>
      </w:r>
    </w:p>
    <w:p>
      <w:r>
        <w:t>PREVEME II</w:t>
      </w:r>
    </w:p>
    <w:p>
      <w:r>
        <w:t>S4</w:t>
      </w:r>
    </w:p>
    <w:p>
      <w:r>
        <w:t>PREVES</w:t>
      </w:r>
    </w:p>
    <w:p>
      <w:r>
        <w:t>S4</w:t>
      </w:r>
    </w:p>
    <w:p>
      <w:r>
        <w:t>PREVHAB</w:t>
      </w:r>
    </w:p>
    <w:p>
      <w:r>
        <w:t>S4</w:t>
      </w:r>
    </w:p>
    <w:p>
      <w:r>
        <w:t>PREVICEL</w:t>
      </w:r>
    </w:p>
    <w:p>
      <w:r>
        <w:t>S4</w:t>
      </w:r>
    </w:p>
    <w:p>
      <w:r>
        <w:t>PREVIK</w:t>
      </w:r>
    </w:p>
    <w:p>
      <w:r>
        <w:t>S4</w:t>
      </w:r>
    </w:p>
    <w:p>
      <w:r>
        <w:t>PREVIP</w:t>
      </w:r>
    </w:p>
    <w:p>
      <w:r>
        <w:t>S4</w:t>
      </w:r>
    </w:p>
    <w:p>
      <w:r>
        <w:t>PREVISCANIA</w:t>
      </w:r>
    </w:p>
    <w:p>
      <w:r>
        <w:t>S4</w:t>
      </w:r>
    </w:p>
    <w:p>
      <w:r>
        <w:t>PREVISTIHL</w:t>
      </w:r>
    </w:p>
    <w:p>
      <w:r>
        <w:t>S4</w:t>
      </w:r>
    </w:p>
    <w:p>
      <w:r>
        <w:t>PREVSOMPO</w:t>
      </w:r>
    </w:p>
    <w:p>
      <w:r>
        <w:t>S4</w:t>
      </w:r>
    </w:p>
    <w:p>
      <w:r>
        <w:t>PREVUNISUL</w:t>
      </w:r>
    </w:p>
    <w:p>
      <w:r>
        <w:t>S4</w:t>
      </w:r>
    </w:p>
    <w:p>
      <w:r>
        <w:t>RBS PREV</w:t>
      </w:r>
    </w:p>
    <w:p>
      <w:r>
        <w:t>S4</w:t>
      </w:r>
    </w:p>
    <w:p>
      <w:r>
        <w:t>RECKITTPREV</w:t>
      </w:r>
    </w:p>
    <w:p>
      <w:r>
        <w:t>S4</w:t>
      </w:r>
    </w:p>
    <w:p>
      <w:r>
        <w:t>RJPREV</w:t>
      </w:r>
    </w:p>
    <w:p>
      <w:r>
        <w:t>S4</w:t>
      </w:r>
    </w:p>
    <w:p>
      <w:r>
        <w:t>RS-PREV</w:t>
      </w:r>
    </w:p>
    <w:p>
      <w:r>
        <w:t>S4</w:t>
      </w:r>
    </w:p>
    <w:p>
      <w:r>
        <w:t>SBOTPREV</w:t>
      </w:r>
    </w:p>
    <w:p>
      <w:r>
        <w:t>S4</w:t>
      </w:r>
    </w:p>
    <w:p>
      <w:r>
        <w:t>SIAS</w:t>
      </w:r>
    </w:p>
    <w:p>
      <w:r>
        <w:t>S4</w:t>
      </w:r>
    </w:p>
    <w:p>
      <w:r>
        <w:t>SILIUS</w:t>
      </w:r>
    </w:p>
    <w:p>
      <w:r>
        <w:t>S4</w:t>
      </w:r>
    </w:p>
    <w:p>
      <w:r>
        <w:t>SOMUPP</w:t>
      </w:r>
    </w:p>
    <w:p>
      <w:r>
        <w:t>S4</w:t>
      </w:r>
    </w:p>
    <w:p>
      <w:r>
        <w:t>SUL PREVIDÊNCIA</w:t>
      </w:r>
    </w:p>
    <w:p>
      <w:r>
        <w:t>S4</w:t>
      </w:r>
    </w:p>
    <w:p>
      <w:r>
        <w:t>TETRA PAK PREV</w:t>
      </w:r>
    </w:p>
    <w:p>
      <w:r>
        <w:t>S4</w:t>
      </w:r>
    </w:p>
    <w:p>
      <w:r>
        <w:t>TEXPREV</w:t>
      </w:r>
    </w:p>
    <w:p>
      <w:r>
        <w:t>S4</w:t>
      </w:r>
    </w:p>
    <w:p>
      <w:r>
        <w:t>TOYOTA PREVI</w:t>
      </w:r>
    </w:p>
    <w:p>
      <w:r>
        <w:t>S4</w:t>
      </w:r>
    </w:p>
    <w:p>
      <w:r>
        <w:t>TRAMONTINAPREV</w:t>
      </w:r>
    </w:p>
    <w:p>
      <w:r>
        <w:t>S4</w:t>
      </w:r>
    </w:p>
    <w:p>
      <w:r>
        <w:t>UNIPREVI</w:t>
      </w:r>
    </w:p>
    <w:p>
      <w:r>
        <w:t>S4</w:t>
      </w:r>
    </w:p>
    <w:p>
      <w:r>
        <w:t>UNISYS-PREVI</w:t>
      </w:r>
    </w:p>
    <w:p>
      <w:r>
        <w:t>S4</w:t>
      </w:r>
    </w:p>
    <w:p>
      <w:r>
        <w:t>VBPP</w:t>
      </w:r>
    </w:p>
    <w:p>
      <w:r>
        <w:t>S4</w:t>
      </w:r>
    </w:p>
    <w:p>
      <w:r>
        <w:t>VOITH PREV</w:t>
      </w:r>
    </w:p>
    <w:p>
      <w:r>
        <w:t>S4</w:t>
      </w:r>
    </w:p>
    <w:p>
      <w:pPr>
        <w:pStyle w:val="Heading2"/>
      </w:pPr>
      <w:r>
        <w:t>PORTARIA CGAUT/SUSEP nº 159, de 27 de Agosto de 2026</w:t>
      </w:r>
    </w:p>
    <w:p>
      <w:r>
        <w:t>Categoria: Ministério da Fazenda/Superintendência de Seguros Privados/Diretoria de Organização de Mercado e Regulação de Conduta/Coordenação-Geral de Autorizações</w:t>
      </w:r>
    </w:p>
    <w:p>
      <w:r>
        <w:t>Página: 68</w:t>
      </w:r>
    </w:p>
    <w:p/>
    <w:p>
      <w:r>
        <w:t>PORTARIA CGAUT/SUSEP nº 159, de 27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artigo I do artigo 36 do Decreto-Lei nº 73, de 21 de novembro de 1966, combinado com o artigo 5º da Lei Complementar nº 126, de 15 de janeiro de 2007, com base no inciso V do artigo 5º da Resolução CNSP nº 422, de 11 de novembro de 2021, e o que consta do processo Susep nº 15414.642303/2026-57, resolve:</w:t>
      </w:r>
    </w:p>
    <w:p>
      <w:r>
        <w:t>Art.1º Fica homologada a eleição de administradores de AIG RESSEGUROS BRASIL S.A., CNPJ nº 13.525.547/0001-52, com sede na cidade de São Paulo - SP, conforme deliberado na assembleia geral extraordinária realizada em 8 de julho de 2026.</w:t>
      </w:r>
    </w:p>
    <w:p>
      <w:r>
        <w:t>Art.2º Esta Portaria entra em vigor na data de sua publicação.</w:t>
      </w:r>
    </w:p>
    <w:p>
      <w:r>
        <w:t>MAUREL ALEXIS WEICHERT</w:t>
      </w:r>
    </w:p>
    <w:p>
      <w:pPr>
        <w:pStyle w:val="Heading2"/>
      </w:pPr>
      <w:r>
        <w:t>DECISÃO Nº 29/2026</w:t>
      </w:r>
    </w:p>
    <w:p>
      <w:r>
        <w:t>Categoria: Banco Central do Brasil/Conselho de Controle de Atividades Financeiras</w:t>
      </w:r>
    </w:p>
    <w:p>
      <w:r>
        <w:t>Página: 148</w:t>
      </w:r>
    </w:p>
    <w:p/>
    <w:p>
      <w:r>
        <w:t>DECISÃO Nº 29/2026</w:t>
      </w:r>
    </w:p>
    <w:p>
      <w:r>
        <w:t>PROCESSO ADMINISTRATIVO SANCIONADOR Nº 11893.000019/2025-21</w:t>
      </w:r>
    </w:p>
    <w:p>
      <w:r>
        <w:t>INTERESSADOS: PENA &amp; MELLO COMÉRCIO E EXPORTAÇÃO LTDA., CNPJ 22.503.284/0001-71; DIEGO DE MELLO, CPF ***.740.***-46.</w:t>
      </w:r>
    </w:p>
    <w:p>
      <w:r>
        <w:t>PROCURADOR: DARUICH HAMMOUD JÚNIOR, OAB/PA nº 24.123-B.</w:t>
      </w:r>
    </w:p>
    <w:p>
      <w:r>
        <w:t>SESSÃO DE JULGAMENTO: 4 DE AGOSTO DE 2026.</w:t>
      </w:r>
    </w:p>
    <w:p>
      <w:r>
        <w:t>RELATOR: SÉRGIO DJUNDI TANIGUCHI.</w:t>
      </w:r>
    </w:p>
    <w:p>
      <w:r>
        <w:t>FINALIDADE: Tornar pública a Decisão COAF nº 29, de 4/8/2026.</w:t>
      </w:r>
    </w:p>
    <w:p>
      <w:r>
        <w:t>EMENTA: Comércio de Joias, Pedras e Metais Preciosos - Não cadastramento do regulado no órgão regulador ou fiscalizador (infração caracterizada) - Não comunicação de ausência de operações ou propostas passíveis de serem comunicadas ao COAF (infração caracterizada).</w:t>
      </w:r>
    </w:p>
    <w:p>
      <w:r>
        <w:t>DECISÃO: Vistos, relatados e discutidos os autos do processo em epígrafe, o Plenário do Conselho de Controle de Atividades Financeiras (COAF) decidiu, por unanimidade, nos termos do voto do Relator, (i) afastar a preliminar suscitada de nulidade da intimação de instauração de Diego de Mello; e (ii) no mérito, pela responsabilidade administrativa de PENA &amp; MELLO COMÉRCIO E EXPORTAÇÃO LTDA e DIEGO DE MELLO, aplicando-lhes as penalidades a seguir individualizadas:</w:t>
      </w:r>
    </w:p>
    <w:p>
      <w:r>
        <w:t>a) para PENA &amp; MELLO COMERCIO E EXPORTACAO LTDA.:</w:t>
      </w:r>
    </w:p>
    <w:p>
      <w:r>
        <w:t>1. multa pecuniária, de acordo com o art. 12, inciso II, alínea "c", e § 2º, inciso II, da Lei nº 9.613, de 3 de março de 1998, no valor absoluto de R$ 100.000,00 (cem mil reais), pelo não cadastramento do regulado no órgão regulador ou fiscalizador, com infração ao art. 10, inciso IV, da mesma Lei, combinado com o art. 16, da Resolução Coaf nº 23, de 20 de dezembro de 2012; e</w:t>
      </w:r>
    </w:p>
    <w:p>
      <w:r>
        <w:t>2. multa pecuniária, de acordo com o art. 12, inciso II, alínea "c", e § 2º, inciso IV, da Lei nº 9.613, de 1998, no valor absoluto de R$ 171.000,00 (cento e setenta e um mil reais), pelo não envio de declaração de inexistência de operações ou propostas de operações a serem comunicadas ao COAF, referentes aos exercícios de 2019 a 2023, com infração ao art. 11, inciso III, da mesma Lei, combinado com os arts. 11 e 12, da Resolução Coaf nº 23, de 2012;</w:t>
      </w:r>
    </w:p>
    <w:p>
      <w:r>
        <w:t>b) para DIEGO DE MELLO:</w:t>
      </w:r>
    </w:p>
    <w:p>
      <w:r>
        <w:t>1. multa pecuniária, de acordo com o art. 12, inciso II, alínea "c", e § 2º, inciso II, da Lei nº 9.613, de 1998, no valor de R$ 25.000,00 (vinte e cinco mil reais), equivalente a 25% da multa aplicada à pessoa jurídica, pelo não cadastramento do regulado no órgão regulador ou fiscalizador, com infração ao art. 10, inciso IV, da mesma Lei, combinado com o art. 16, da Resolução Coaf nº 23, de 2012; e</w:t>
      </w:r>
    </w:p>
    <w:p>
      <w:r>
        <w:t>2. multa pecuniária, de acordo com o art. 12, inciso II, alínea "c", e § 2º, inciso IV, da Lei nº 9.613, de 1998, no valor de R$ 42.750,00 (quarenta e dois mil, setecentos e cinquenta reais), equivalente a 25% da multa aplicada à pessoa jurídica, pelo não envio de declaração de inexistência de operações ou propostas de operações a serem comunicadas ao COAF, referentes aos exercícios de 2019 a 2023, com infração ao art. 11, inciso III, da mesma Lei, combinado com os arts. 11 e 12, da Resolução Coaf nº 23, de 2012.</w:t>
      </w:r>
    </w:p>
    <w:p>
      <w:r>
        <w:t>Para a decisão, observado sem divergência o padrão firmado pelo Plenário do COAF nesse sentido, foram considerados o porte da empresa imputada, a gravidade dos fatos, bem como a dosimetria adotada em casos semelhantes apreciados pelo Plenário do COAF. Constaram a respeito no voto condutor do julgado termos como os seguintes: "Apesar da tentativa de realização do cadastro de que trata o art. 10, inciso IV, da Lei nº 9.613, de 1998, a omissão da empresa quanto a prestar informações e encaminhar documentos acerca das operações que realizava à época a colocou em situação de descumprimento do citado dispositivo legal. [...] A não apresentação das CNOs referentes a 5 (cinco) exercícios (2019, 2020, 2021, 2022 e 2023) trata de inobservância à obrigação de natureza objetiva, na qual, quando não praticados os atos previstos em lei, [...], resta configurada a infração ao inciso III do art. 11, da Lei nº 9.613, de 1998, e aos arts. 11 e 12 da Resolução Coaf nº 23, de 2012".</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da Presidente Suplente, votaram integralmente com o Relator os Conselheiros Nelson Alves de Aguiar Júnior, Marcus Vinícius de Carvalho, Gustavo da Silva Dias, Raniere Rocha Lins, Marcelo Souza Della Nina, Guilherme Ayres Jameli, Fábio Guimarães Bensoussan e Daniel Mostardeiro Cola.</w:t>
      </w:r>
    </w:p>
    <w:p>
      <w:r>
        <w:t>CAROLINA YUMI DE SOUZA</w:t>
      </w:r>
    </w:p>
    <w:p>
      <w:r>
        <w:t>Presidente Suplente do Conselho</w:t>
      </w:r>
    </w:p>
    <w:p>
      <w:r>
        <w:t>SÉRGIO DJUNDI TANIGUCHI</w:t>
      </w:r>
    </w:p>
    <w:p>
      <w:r>
        <w:t>Relator</w:t>
      </w:r>
    </w:p>
    <w:p>
      <w:pPr>
        <w:pStyle w:val="Heading2"/>
      </w:pPr>
      <w:r>
        <w:t>DECISÃO Nº 30/2026</w:t>
      </w:r>
    </w:p>
    <w:p>
      <w:r>
        <w:t>Categoria: Banco Central do Brasil/Conselho de Controle de Atividades Financeiras</w:t>
      </w:r>
    </w:p>
    <w:p>
      <w:r>
        <w:t>Página: 149</w:t>
      </w:r>
    </w:p>
    <w:p/>
    <w:p>
      <w:r>
        <w:t>DECISÃO Nº 30/2026</w:t>
      </w:r>
    </w:p>
    <w:p>
      <w:r>
        <w:t>PROCESSO ADMINISTRATIVO SANCIONADOR Nº 11893.000087/2024-18</w:t>
      </w:r>
    </w:p>
    <w:p>
      <w:r>
        <w:t>INTERESSADOS: SAFISCHER DESIGN DE JOIAS LTDA., CNPJ 16.715.264/0001-61; PAULA FISCHER CAVALCANTI ROSAURO DE ALMEIDA, CPF ***.142.***-65; SILVIA FISCHER, CPF ***.065.***-03; e ALICE FISCHER, CPF ***.898.***-72.</w:t>
      </w:r>
    </w:p>
    <w:p>
      <w:r>
        <w:t>PROCURADOR: NÃO CONSTITUÍDO.</w:t>
      </w:r>
    </w:p>
    <w:p>
      <w:r>
        <w:t>SESSÃO DE JULGAMENTO: 4 AGOSTO DE 2026.</w:t>
      </w:r>
    </w:p>
    <w:p>
      <w:r>
        <w:t>RELATOR: GUILHERME AYRES JAMELI.</w:t>
      </w:r>
    </w:p>
    <w:p>
      <w:r>
        <w:t>FINALIDADE: Tornar pública a Decisão COAF nº 30, de 4/8/2026.</w:t>
      </w:r>
    </w:p>
    <w:p>
      <w:r>
        <w:t>EMENTA: Comércio de Joias, Pedras e Metais Preciosos - Não comunicação de ausência de operações ou propostas passíveis de serem comunicadas ao Coaf (infração caracterizada) -Não atendimento às requisições formuladas pelo COAF na periodicidade, forma e condições por ele estabelecidas (infração caracterizada).</w:t>
      </w:r>
    </w:p>
    <w:p>
      <w:r>
        <w:t>DECISÃO: Vistos, relatados e discutidos os autos do processo em epígrafe, o Plenário do Conselho de Controle de Atividades Financeiras (Coaf) decidiu, por unanimidade, nos termos do voto do Relator, pela (i) extinção da punibilidade de ALICE FISCHER, em razão do seu falecimento, com fulcro no princípio da personalidade da sanção ou intranscendência da pena, conforme art. 5º, XLV, da Constituição Federal, aplicando-se por analogia o art. 107, inciso I, do Código Penal; e (ii) pela responsabilidade administrativa de SAFISCHER DESIGN DE JOIAS LTDA., de PAULA FISCHER CAVALCANTI ROSAURO DE ALMEIDA e de SILVIA FISCHER, aplicando-lhes as penalidades a seguir individualizadas:</w:t>
      </w:r>
    </w:p>
    <w:p>
      <w:r>
        <w:t>a) para SAFISCHER DESIGN DE JOIAS LTDA.:</w:t>
      </w:r>
    </w:p>
    <w:p>
      <w:r>
        <w:t>1. multa pecuniária, de acordo com o art. 12, inciso II, alínea "c", e § 2º, inciso IV, da Lei nº 9.613, de 3 de março de 1998, no valor de R$ 205.200,00 (duzentos e cinco mil e duzentos reais), pelo não envio de comunicação de inexistência de operações ou propostas de operações a serem comunicadas ao Coaf, referentes aos anos de 2017 a 2021 e 2023, com infração ao art. 11, inciso III, da mesma Lei, combinado com os arts. 11 e 12, da Resolução Coaf nº 23, de 20 de dezembro de 2012; e</w:t>
      </w:r>
    </w:p>
    <w:p>
      <w:r>
        <w:t>2. multa pecuniária, de acordo com o art. 12, inciso II, alínea "c", e § 2º, inciso III, da Lei nº 9.613, de 1998, no valor de R$ 50.000,00 (cinquenta mil reais), por não atendimento às requisições formuladas pelo Coaf na periodicidade, forma e condições por ele estabelecidas, com infração ao art. 10, inciso V, da mesma Lei, combinado com o art. 20 da Resolução Coaf nº 23, de 2012;</w:t>
      </w:r>
    </w:p>
    <w:p>
      <w:r>
        <w:t>b) para PAULA FISCHER CAVALCANTI ROSAURO DE ALMEIDA:</w:t>
      </w:r>
    </w:p>
    <w:p>
      <w:r>
        <w:t>1. multa pecuniária, de acordo com o art. 12, inciso II, alínea "c", e § 2º, inciso IV, da Lei nº 9.613, de 1998, no valor de R$ 51.300,00 (cinquenta e um mil e trezentos reais), equivalente a 25% do valor aplicado à pessoa jurídica, pelo não envio de comunicação de inexistência de operações ou propostas de operações a serem comunicadas ao Coaf, referentes aos anos de 2017 a 2021 e 2023, com infração ao art. 11, inciso III, da mesma Lei, combinado com os arts. 11 e 12, da Resolução Coaf nº 23, de 2012; e</w:t>
      </w:r>
    </w:p>
    <w:p>
      <w:r>
        <w:t>2. multa pecuniária, de acordo com o art. 12, inciso II, alínea "c", e § 2º, inciso III, da Lei nº 9.613, de 1998, no valor de R$ 12.500,00 (doze mil e quinhentos reais), equivalente a 25% do valor aplicado à pessoa jurídica, por não atendimento às requisições formuladas pelo Coaf na periodicidade, forma e condições por ele estabelecidas, com infração ao art. 10, inciso V, da mesma Lei, combinado com o art. 20 da Resolução Coaf nº 23, de 2012.</w:t>
      </w:r>
    </w:p>
    <w:p>
      <w:r>
        <w:t>c) para SILVIA FISCHER:</w:t>
      </w:r>
    </w:p>
    <w:p>
      <w:r>
        <w:t>1. multa pecuniária, de acordo com o art. 12, inciso II, alínea "c", e § 2º, inciso IV, da Lei nº 9.613, de 1998, no valor de R$ 51.300,00 (cinquenta e um mil e trezentos reais), equivalente a 25% do valor aplicado à pessoa jurídica, pelo não envio de comunicação de inexistência de operações ou propostas de operações a serem comunicadas ao Coaf, referentes aos anos de 2017 a 2021 e 2023, com infração ao art. 11, inciso III, da mesma Lei, combinado com os arts. 11 e 12, da Resolução Coaf nº 23, de 2012; e</w:t>
      </w:r>
    </w:p>
    <w:p>
      <w:r>
        <w:t>2. multa pecuniária, de acordo com o art. 12, inciso II, alínea "c", e § 2º, inciso III, da Lei nº 9.613, de 1998, no valor de R$ 12.500,00 (doze mil e quinhentos reais), equivalente a 25% do valor aplicado à pessoa jurídica, por não atendimento às requisições formuladas pelo Coaf na periodicidade, forma e condições por ele estabelecidas, com infração ao art. 10, inciso V, da mesma Lei, combinado com o art. 20 da Resolução Coaf nº 23, de 2012.</w:t>
      </w:r>
    </w:p>
    <w:p>
      <w:r>
        <w:t>Para a decisão, observado sem divergência o padrão firmado pelo Plenário do Coaf nesse sentido, foram considerados o setor de atividade da empresa, seu porte, o potencial ofensivo das infrações caracterizadas, a comprovada ciência da empresa quanto às inconsistências apontadas pela fiscalização, sem que tenha adotado qualquer providência para a regularização, a conjuntura dos fatos descritos no processo, bem como a dosimetria adotada em casos semelhantes apreciados pelo Plenário do Coaf. Constaram a respeito no voto condutor do julgado termos como os seguintes: "mesmo após regularmente intimadas para apresentar defesa, as interessadas não adotaram qualquer providência voltada à regularização das comunicações de não ocorrência pendentes, tampouco apresentaram justificativa para tal omissão. [...] Além disso, destaca-se no voto "Tal conduta revela postura de desconsideração ante a autoridade pública incumbida de supervisionar a atuação das interessadas no cumprimento dos deveres estabelecidos nos arts. 10 e 11 da Lei nº 9.613, de 1998, tanto mais grave porquanto reste comprovado, conforme mencionado anteriormente, que a empresa teve ciência inequívoca das requisições formuladas de 2012". Quanto à dosimetria, consta que foram consideradas "(i) a expectativa de maior maturidade dos supervisionados quanto aos deveres de PLD/FTP, decorridos mais de 11 anos da regulamentação do tema pelo COAF, bem como (ii) a necessidade da recomposição do valor monetário das multas, dada a defasagem superior a 7 anos dos referenciais, [...] e (iii) a percepção de maior risco do setor de joias, pedras e metais preciosos ao sistema de PLD/FTP, conforme relatório de avaliação mútua do Brasil emitido pelo GAFI em dezembro/2023".</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w:t>
      </w:r>
    </w:p>
    <w:p>
      <w:r>
        <w:t>Além da Presidente Suplente, votaram integralmente com o Relator os Conselheiros Nelson Alves de Aguiar Júnior, Marcus Vinícius de Carvalho, Gustavo da Silva Dias, Sérgio Djundi Taniguchi, Raniere Rocha Lins, Marcelo Souza Della Nina, Fábio Guimarães Bensoussan e Daniel Mostardeiro Cola.</w:t>
      </w:r>
    </w:p>
    <w:p>
      <w:r>
        <w:t>CAROLINA YUMI DE SOUZA</w:t>
      </w:r>
    </w:p>
    <w:p>
      <w:r>
        <w:t>Presidente Suplente do Conselho</w:t>
      </w:r>
    </w:p>
    <w:p>
      <w:r>
        <w:t>GUILHERME AYRES JAMELI</w:t>
      </w:r>
    </w:p>
    <w:p>
      <w:r>
        <w:t>Relator</w:t>
      </w:r>
    </w:p>
    <w:p>
      <w:pPr>
        <w:pStyle w:val="Heading2"/>
      </w:pPr>
      <w:r>
        <w:t>DECISÃO Nº 31/2026</w:t>
      </w:r>
    </w:p>
    <w:p>
      <w:r>
        <w:t>Categoria: Banco Central do Brasil/Conselho de Controle de Atividades Financeiras</w:t>
      </w:r>
    </w:p>
    <w:p>
      <w:r>
        <w:t>Página: 149</w:t>
      </w:r>
    </w:p>
    <w:p/>
    <w:p>
      <w:r>
        <w:t>DECISÃO Nº 31/2026</w:t>
      </w:r>
    </w:p>
    <w:p>
      <w:r>
        <w:t>PROCESSO ADMINISTRATIVO SANCIONADOR Nº 11893.000119/2025-58</w:t>
      </w:r>
    </w:p>
    <w:p>
      <w:r>
        <w:t>INTERESSADOS: ALIANÇA FOMENTO MERCANTIL LTDA., CNPJ 05.347.503/0001-51; GIUSEPPE USLENGHI, CPF: ***.625.***-37; e ROSA MARIA DE MORAES, CPF: ***.367.***-15.</w:t>
      </w:r>
    </w:p>
    <w:p>
      <w:r>
        <w:t>PROCURADORA: JULIANE TEIXEIRA MILANI, OAB/PR nº 70.719.</w:t>
      </w:r>
    </w:p>
    <w:p>
      <w:r>
        <w:t>SESSÃO DE JULGAMENTO: 4 DE AGOSTO DE 2026.</w:t>
      </w:r>
    </w:p>
    <w:p>
      <w:r>
        <w:t>RELATOR: MARCUS VINÍCIUS DE CARVALHO.</w:t>
      </w:r>
    </w:p>
    <w:p>
      <w:r>
        <w:t>FINALIDADE: Tornar pública a Decisão COAF nº 31, de 4/8/2026.</w:t>
      </w:r>
    </w:p>
    <w:p>
      <w:r>
        <w:t>EMENTA: Fomento Comercial (Factoring) - Não atendimento às requisições formuladas pelo COAF na periodicidade, forma e condições por ele estabelecidas (infração caracterizada) - Não comunicação de ausência de operações ou propostas passíveis de serem comunicadas ao Coaf (infração caracterizada).</w:t>
      </w:r>
    </w:p>
    <w:p>
      <w:r>
        <w:t>DECISÃO: Vistos, relatados e discutidos os autos do processo em epígrafe, o Plenário do Conselho de Controle de Atividades Financeiras (Coaf) decidiu, por unanimidade, nos termos do voto do Relator, pela responsabilidade administrativa de ALIANÇA FOMENTO MERCANTIL LTDA., GIUSEPPE USLENGHI e ROSA MARIA DE MORAES, aplicando-lhes as penalidades a seguir individualizadas:</w:t>
      </w:r>
    </w:p>
    <w:p>
      <w:r>
        <w:t>a) para ALIANÇA FOMENTO MERCANTIL LTDA.:</w:t>
      </w:r>
    </w:p>
    <w:p>
      <w:r>
        <w:t>1. multa pecuniária, nos termos do art. 12, § 2°, inciso IV, da Lei nº 9.613, de 3 de março de 1998, no valor absoluto de R$ 62.300,00 (sessenta e dois mil e trezentos reais), pelo não envio de declaração de inexistência de operações ou propostas de operação que devessem ter sido comunicadas ao Coaf, referentes aos exercícios de 2017 a 2022 e 2024, perfazendo 7 períodos, com infração ao disposto no art. 11, inciso III, da mesma Lei, e arts. 14 e 15 da Resolução Coaf nº 21, de 2012, sucedidos pelos arts. 26 e 29 da Resolução Coaf nº 41, de 2022; e</w:t>
      </w:r>
    </w:p>
    <w:p>
      <w:r>
        <w:t>2. multa pecuniária, nos termos do art. 12, § 2º, inciso III, da Lei nº 9.613, de 1998, no valor absoluto de R$ 30.000,00 (trinta mil reais), por não atendimento à requisição formulada pelo Coaf na periodicidade, forma e condições por ele estabelecidas, com infração ao art. 10, inciso V, da mesma Lei, e ao art. 35 da Resolução Coaf nº 41, de 2022;</w:t>
      </w:r>
    </w:p>
    <w:p>
      <w:r>
        <w:t>b) para GIUSEPPE USLENGHI:</w:t>
      </w:r>
    </w:p>
    <w:p>
      <w:r>
        <w:t>1. multa pecuniária, nos termos do art. 12, § 2°, inciso IV, da Lei nº 9.613, de 1998, no valor de R$ 4.450,00 (quatro mil, quatrocentos e cinquenta reais), equivalente a 25% da multa aplicada à pessoa jurídica pelo não envio de declaração de inexistência de operações ou propostas de operação que devessem ter sido comunicadas ao Coaf, referentes aos exercícios de 2022 e 2024, com infração ao disposto no art. 11, inciso III, da mesma Lei, e arts. 14 e 15 da Resolução Coaf nº 21, de 2012, sucedidos pelos arts. 26 e 29 da Resolução COAF nº 41, de 2022; e</w:t>
      </w:r>
    </w:p>
    <w:p>
      <w:r>
        <w:t>2. multa pecuniária, nos termos do art. 12, § 2º, inciso III, da Lei nº 9.613, de 1998, no valor de R$ 7.500,00 (sete mil e quinhentos reais), equivalente a 25% da multa aplicada à pessoa jurídica, por não atendimento à requisição formulada pelo Coaf na periodicidade, forma e condições por ele estabelecidas, com infração ao art. 10, inciso V, da mesma Lei, e ao art. 35 da Resolução Coaf nº 41, de 2022.</w:t>
      </w:r>
    </w:p>
    <w:p>
      <w:r>
        <w:t>c) para ROSA MARIA DE MORAES:</w:t>
      </w:r>
    </w:p>
    <w:p>
      <w:r>
        <w:t>1. multa pecuniária, nos termos do art. 12, § 2°, inciso IV, da Lei nº 9.613, de 1998, no valor de R$ 2.225,00 (dois mil, duzentos e vinte e cinco reais), equivalente a 25% da multa aplicada à pessoa jurídica pelo não envio de declaração de inexistência de operações ou propostas de operação que devessem ter sido comunicadas ao Coaf, referente ao exercício de 2024, com infração ao disposto no art. 11, inciso III, da mesma Lei, e arts. 14 e 15 da Resolução Coaf nº 21, de 2012, sucedidos pelos arts. 26 e 29 da Resolução Coaf nº 41, de 2022; e</w:t>
      </w:r>
    </w:p>
    <w:p>
      <w:r>
        <w:t>2. multa pecuniária, nos termos do art. 12, § 2º, inciso III, da Lei nº 9.613, de 1998, no valor de R$ 7.500,00 (sete mil e quinhentos reais), equivalente a 25% da multa aplicada à pessoa jurídica, por não atendimento à requisição formulada pelo Coaf na periodicidade, forma e condições por ele estabelecidas, com infração ao art. 10, inciso V, da mesma Lei, e ao art. 35 da Resolução Coaf nº 41, de 2022.</w:t>
      </w:r>
    </w:p>
    <w:p>
      <w:r>
        <w:t>Para a decisão, observado sem divergência o padrão firmado pelo Plenário do Coaf nesse sentido, foram considerados o grau de perigo de lesão inerente ao setor em relação ao sistema de PLD/FTP, seu porte, os diferentes períodos de gestão dos administradores, o saneamento a posteriori da infração ao art. 11, inciso III, da Lei nº 9.613, de 1998, bem como a dosimetria adotada em casos semelhantes apreciados pelo Plenário do Coaf. Constaram a respeito no voto condutor do julgado termos como os seguintes: "[...] considerando o saneamento a posteriori da infração ao art. 11, inciso III, da Lei nº 9.613, de 1998, o porte da empresa, o grau de perigo de lesão inerente ao setor em relação ao sistema de PLD/FTP e a dosimetria adotada em casos semelhantes julgados pelo Plenário do Coaf, aplico aos responsabilizados as seguintes penalidades individualizadas:", e " [...] e de seus administradores Giuseppe Uslengui e Rosa Maria de Moraes, os quais responderão proporcionalmente ao período em que exerceram a administração da empresa".</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da Presidente Suplente, votaram integralmente com o Relator os Conselheiros Nelson Alves de Aguiar Júnior, Gustavo da Silva Dias, Sérgio Djundi Taniguchi, Raniere Rocha Lins, Marcelo Souza Della Nina, Guilherme Ayres Jameli, Fábio Guimarães Bensoussan, Daniel Mostardeiro Cola e Eveline Martins Brito.</w:t>
      </w:r>
    </w:p>
    <w:p>
      <w:r>
        <w:t>Foi realizada sustentação oral pela Dra. Juliane Teixeira Milani, OAB/PR nº 70.719.</w:t>
      </w:r>
    </w:p>
    <w:p>
      <w:r>
        <w:t>CAROLINA YUMI DE SOUZA</w:t>
      </w:r>
    </w:p>
    <w:p>
      <w:r>
        <w:t>Presidente Suplente do Conselho</w:t>
      </w:r>
    </w:p>
    <w:p>
      <w:r>
        <w:t>MARCUS VINÍCIUS DE CARVALHO</w:t>
      </w:r>
    </w:p>
    <w:p>
      <w:r>
        <w:t>Relator</w:t>
      </w:r>
    </w:p>
    <w:p>
      <w:pPr>
        <w:pStyle w:val="Heading2"/>
      </w:pPr>
      <w:r>
        <w:t>DECISÃO Nº 32/2026</w:t>
      </w:r>
    </w:p>
    <w:p>
      <w:r>
        <w:t>Categoria: Banco Central do Brasil/Conselho de Controle de Atividades Financeiras</w:t>
      </w:r>
    </w:p>
    <w:p>
      <w:r>
        <w:t>Página: 150</w:t>
      </w:r>
    </w:p>
    <w:p/>
    <w:p>
      <w:r>
        <w:t>DECISÃO Nº 32/2026</w:t>
      </w:r>
    </w:p>
    <w:p>
      <w:r>
        <w:t>PROCESSO ADMINISTRATIVO SANCIONADOR Nº 11893.100708/2022-92</w:t>
      </w:r>
    </w:p>
    <w:p>
      <w:r>
        <w:t>INTERESSADOS: FLORENÇA VEÍCULOS S.A., CNPJ 77.968.980/0001-45; MARCELO PIZANI, CPF ***.607.***-68; SILVIA CRISTINA BASSANI, CPF ***.854.***-72; E GLÁUCIO JOSÉ GEARA, CPF ***.917.***-49.</w:t>
      </w:r>
    </w:p>
    <w:p>
      <w:r>
        <w:t>PROCURADORA: EDRISA COSTA PEREIRA, OAB/PR Nº 39.900.</w:t>
      </w:r>
    </w:p>
    <w:p>
      <w:r>
        <w:t>SESSÃO DE JULGAMENTO: 4 DE AGOSTO DE 2026.</w:t>
      </w:r>
    </w:p>
    <w:p>
      <w:r>
        <w:t>RELATORA: EVELINE MARTINS BRITO.</w:t>
      </w:r>
    </w:p>
    <w:p>
      <w:r>
        <w:t>FINALIDADE: Tornar pública a Decisão COAF nº 32, de 4/8/2026.</w:t>
      </w:r>
    </w:p>
    <w:p>
      <w:r>
        <w:t>EMENTA: Comércio de Bens de Luxo ou de Alto Valor - Descumprimento na identificação e na manutenção de cadastro atualizado de clientes (infração caracterizada) - Descumprimento na manutenção do registro de transações (infração caracterizada) - Não comunicação de operações em espécie que ultrapassaram limite fixado pelo Coaf (infração caracterizada) - Não comunicação de operações que, nos termos de instruções emanadas das autoridades competentes, podiam constituir-se em sérios indícios dos crimes previstos na Lei nº 9.613, de 1998, ou com eles relacionar-se (infração caracterizada) - Não adoção de políticas, procedimentos e controles internos, compatíveis com seu porte e volume de operações, que lhes permitam atender ao disposto nos artigos 10 e 11 da Lei nº 9.613, de 3 de março de 1998 (infração caracterizada).</w:t>
      </w:r>
    </w:p>
    <w:p>
      <w:r>
        <w:t>DECISÃO: Vistos, relatados e discutidos os autos do processo em epígrafe, o Plenário do Conselho de Controle de Atividades Financeiras (Coaf) decidiu, por maioria, nos termos do voto da Relatora, pela responsabilidade administrativa de FLORENÇA VEÍCULOS S.A., MARCELO PIZANI, SILVIA CRISTINA BASSANI e GLÁUCIO JOSÉ GEARA, aplicando-lhes as penalidades a seguir individualizadas:</w:t>
      </w:r>
    </w:p>
    <w:p>
      <w:r>
        <w:t>a) para FLORENÇA VEÍCULOS S.A.:</w:t>
      </w:r>
    </w:p>
    <w:p>
      <w:r>
        <w:t>1. multa pecuniária, de acordo com o art. 12, § 2º, inciso II, da Lei nº 9.613, de 1998, no valor absoluto de R$ 100.000,00 (cem mil reais), por descumprimento na identificação e na manutenção de cadastro de clientes, com infração ao art. 10, inciso I e § 1º, da mesma Lei, combinado com o art. 2º, inciso I, alínea "c", e inciso II, alínea "c", da Resolução Coaf nº 25, de 16 de janeiro de 2013, bem como os arts. 1º e 2º da Resolução Coaf nº 29, de 7 de dezembro de 2017, sucedidos pelos arts. 1º e 2º da Resolução Coaf nº 40, de 22 de novembro de 2021;</w:t>
      </w:r>
    </w:p>
    <w:p>
      <w:r>
        <w:t>2. multa pecuniária, de acordo com o art. 12, § 2º, inciso II, da Lei nº 9.613, de 1998, no valor absoluto de R$ 60.000,00 (sessenta mil reais), por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de R$ 132.313,21 (cento e trinta e dois mil, trezentos e treze reais e vinte e um centavos), equivalente a 10% de R$ 1.323.132,15, correspondente à parcela em espécie de 27 operações, pela ausência de comunicação ao Coaf de operações que lhe deviam ter sido comunicadas por terem envolvido pagamento em espécie em valor que ultrapassou limite por ele fixado, com infração ao art. 11, inciso II, alínea "a", da mesma Lei, e aos arts. 4º e 6º da Resolução Coaf nº 25, de 2013;</w:t>
      </w:r>
    </w:p>
    <w:p>
      <w:r>
        <w:t>4. multa pecuniária, de acordo com o art. 12, § 2º, inciso IV, da Lei nº 9.613, de 1998, no valor de R$ 738.552,47 (setecentos e trinta e oito mil, quinhentos e cinquenta e dois reais e quarenta e sete centavos), equivalente a 10% do total de R$ 7.385.524,70, pela ausência de comunicação ao Coaf de operações podiam constituir-se em sérios indícios de crimes previstos na Lei nº 9.613, de 1998, ou com eles relacionar-se, com infração ao art. 11, inciso II, alínea "b" da mesma Lei, e aos arts. 5º e 6º da Resolução Coaf nº 25, de 2013; e</w:t>
      </w:r>
    </w:p>
    <w:p>
      <w:r>
        <w:t>5. multa pecuniária, de acordo com o art. 12, § 2º, inciso II, da Lei nº 9.613, de 1998, no valor de R$ 50.000,00 (cinquenta mil reais), por deficiência na adoção de políticas, procedimentos e controles internos de prevenção à lavagem de dinheiro e ao financiamento do terrorismo e da proliferação de armas de destruição em massa (PLD/FTP), que permitam atender ao disposto nos arts. 10 e 11, ambos da Lei nº 9.613, de 1998, com infração ao art. 10, inciso III, da mesma Lei, combinado com os arts. 1º a 7º e 11, todos da Resolução Coaf nº 25, de 2013, bem como, mais recentemente, à Resolução Coaf nº 36, de 2021;</w:t>
      </w:r>
    </w:p>
    <w:p>
      <w:r>
        <w:t>b) para MARCELO PIZANI:</w:t>
      </w:r>
    </w:p>
    <w:p>
      <w:r>
        <w:t>1. multa pecuniária, de acordo com o art. 12, § 2º, inciso II, da Lei nº 9.613, de 1998, no valor de R$ 25.000,00 (vinte e cinco mil reais), equivalente a 25% do valor aplicado à pessoa jurídica, por descumprimento na identificação e na manutenção de cadastro de clientes, com infração ao art. 10, inciso I e § 1º, da mesma Lei, combinado com o art. 2º, inciso I, alínea "c", e inciso II, alínea "c", da Resolução Coaf nº 25, de 2013, bem como aos arts. 1º e 2º da Resolução Coaf nº 29, de 2017, sucedidos pelos arts. 1º e 2º da Resolução Coaf nº 40, de 2021;</w:t>
      </w:r>
    </w:p>
    <w:p>
      <w:r>
        <w:t>2. multa pecuniária, de acordo com o art. 12, § 2º, inciso II, da Lei nº 9.613, de 1998, no valor de R$ 15.000,00 (quinze mil reais), equivalente a 25% do valor aplicado à pessoa jurídica, por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de R$ 33.078,30 (trinta e três mil, setenta e oito reais e trinta centavos), equivalente a 25% do valor aplicado à pessoa jurídica, pela ausência de comunicação ao Coaf de operações que lhe deviam ter sido comunicadas por terem envolvido pagamento em espécie em valor que ultrapassou limite por ele fixado, com infração ao art. 11, inciso II, alínea "a" da mesma Lei, e aos arts. 4º e 6º da Resolução Coaf nº 25, de 2013;</w:t>
      </w:r>
    </w:p>
    <w:p>
      <w:r>
        <w:t>4. multa pecuniária, de acordo com o art. 12, § 2º, inciso IV, da Lei nº 9.613, de 1998, no valor de R$ 184.638,11 (cento e oitenta e quatro mil, seiscentos e trinta e oito reais e onze centavos), equivalente a 25% do valor aplicado à pessoa jurídica, pela ausência de comunicação ao Coaf de operações podiam constituir-se em sérios indícios de crimes previstos na Lei nº 9.613, de 1998, ou com eles relacionar-se, com infração ao art. 11, inciso II, alínea "b" da mesma Lei, e aos arts. 5º e 6º da Resolução Coaf nº 25, de 2013; e</w:t>
      </w:r>
    </w:p>
    <w:p>
      <w:r>
        <w:t>5. multa pecuniária, de acordo com o art. 12, § 2º, inciso II, da Lei nº 9.613, de 1998, no valor de R$ 12.500,00 (doze mil e quinhentos reais), equivalente a 25% do valor aplicado à pessoa jurídica, por deficiência na adoção de políticas, procedimentos e controles internos de prevenção à lavagem de dinheiro e ao financiamento do terrorismo e da proliferação de armas de destruição em massa (PLD/FTP), que permitam atender ao disposto nos arts. 10 e 11, ambos da Lei nº 9.613, de 1998, com infração ao art. 10, inciso III, da mesma Lei, combinado com os arts. 1º a 7º e 11, todos da Resolução Coaf nº 25, de 2013, bem como, mais recentemente, à Resolução Coaf nº 36, de 2021;</w:t>
      </w:r>
    </w:p>
    <w:p>
      <w:r>
        <w:t>c) para SILVIA CRISTINA BASSANI:</w:t>
      </w:r>
    </w:p>
    <w:p>
      <w:r>
        <w:t>1. multa pecuniária, de acordo com o art. 12, § 2º, inciso II, da Lei nº 9.613, de 1998, no valor de R$ 25.000,00 (vinte e cinco mil reais), equivalente a 25% do valor aplicado à pessoa jurídica, por descumprimento na identificação e na manutenção de cadastro de clientes, com infração ao art. 10, inciso I e § 1º, da mesma Lei, combinado com o art. 2º, inciso I, alínea "c", e inciso II, alínea "c", da Resolução Coaf nº 25, de 2013, bem como aos arts. 1º e 2º da Resolução Coaf nº 29, de 2017, sucedidos pelos arts. 1º e 2º da Resolução Coaf nº 40, de 2021;</w:t>
      </w:r>
    </w:p>
    <w:p>
      <w:r>
        <w:t>2. multa pecuniária, de acordo com o art. 12, § 2º, inciso II, da Lei nº 9.613, de 1998, no valor de R$ 15.000,00 (quinze mil reais), equivalente a 25% do valor aplicado à pessoa jurídica, por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de R$ 33.078,30 (trinta e três mil, setenta e oito reais e trinta centavos), equivalente a 25% do valor aplicado à pessoa jurídica, pela ausência de comunicação ao Coaf de operações que lhe deviam ter sido comunicadas por terem envolvido pagamento em espécie em valor que ultrapassou limite por ele fixado, com infração ao art. 11, inciso II, alínea "a" da mesma Lei, e aos arts. 4º e 6º da Resolução Coaf nº 25, de 2013;</w:t>
      </w:r>
    </w:p>
    <w:p>
      <w:r>
        <w:t>4. multa pecuniária, de acordo com o art. 12, § 2º, inciso IV, da Lei nº 9.613, de 1998, no valor de R$ 184.638,11 (cento e oitenta e quatro mil, seiscentos e trinta e oito reais e onze centavos), equivalente a 25% do valor aplicado à pessoa jurídica, pela ausência de comunicação ao Coaf de operações podiam constituir-se em sérios indícios de crimes previstos na Lei nº 9.613, de 1998, ou com eles relacionar-se, com infração ao art. 11, inciso II, alínea "b" da mesma Lei, e aos arts. 5º e 6º da Resolução Coaf nº 25, de 2013; e</w:t>
      </w:r>
    </w:p>
    <w:p>
      <w:r>
        <w:t>5. multa pecuniária, de acordo com o art. 12, § 2º, inciso II, da Lei nº 9.613, de 1998, no valor de R$ 12.500,00 (doze mil e quinhentos reais), equivalente a 25% do valor aplicado à pessoa jurídica, por deficiência na adoção de políticas, procedimentos e controles internos de prevenção à lavagem de dinheiro e ao financiamento do terrorismo e da proliferação de armas de destruição em massa (PLD/FTP), que permitam atender ao disposto nos arts. 10 e 11, ambos da Lei nº 9.613, de 1998, com infração ao art. 10, inciso III, da mesma Lei, combinado com os arts. 1º a 7º e 11, todos da Resolução Coaf nº 25, de 2013, bem como, mais recentemente, à Resolução Coaf nº 36, de 2021;</w:t>
      </w:r>
    </w:p>
    <w:p>
      <w:r>
        <w:t>d) para GLÁUCIO JOSÉ GEARA:</w:t>
      </w:r>
    </w:p>
    <w:p>
      <w:r>
        <w:t>1 multa pecuniária, de acordo com o art. 12, § 2º, inciso II, da Lei nº 9.613, de 1998, no valor absoluto de R$ 1.000,00 (um mil reais), considerando a reduzida quantidade de inconformidades identificadas em seu período de gestão, por descumprimento na identificação e na manutenção de cadastro de clientes, com infração ao art. 10, inciso I e § 1º, da mesma Lei, combinado com o art. 2º, inciso I, alínea "c", e inciso II, alínea "c", da Resolução Coaf nº 25, de 2013, bem como aos arts. 1º e 2º da Resolução Coaf nº 29, de 2017, sucedidos pelos arts. 1º e 2º da Resolução Coaf nº 40, de 2021;</w:t>
      </w:r>
    </w:p>
    <w:p>
      <w:r>
        <w:t>2. multa pecuniária, de acordo com o art. 12, § 2º, inciso II, da Lei nº 9.613, de 1998, no valor absoluto de R$ 540,00 (quinhentos e quarenta reais), considerando a reduzida quantidade de inconformidades identificadas em seu período de gestão, por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absoluto de R$ 2.817,50 (dois mil, oitocentos e dezessete reais e cinquenta centavos), considerando a reduzida quantidade de inconformidades identificadas em seu período de gestão, pela ausência de comunicação ao Coaf de operações que lhe deviam ter sido comunicadas por terem envolvido pagamento em espécie em valor que ultrapassou limite por ele fixado, com infração ao art. 11, inciso II, alínea "a" da mesma Lei, e aos arts. 4º e 6º da Resolução Coaf nº 25, de 2013;</w:t>
      </w:r>
    </w:p>
    <w:p>
      <w:r>
        <w:t>4. multa pecuniária, de acordo com o art. 12, § 2º, inciso IV, da Lei nº 9.613, de 1998, no valor absoluto de R$ 33.002,00 (trinta e três mil e dois reais), considerando a reduzida quantidade de inconformidades identificadas em seu período de gestão, pela ausência de comunicação ao Coaf de operações podiam constituir-se em sérios indícios de crimes previstos na Lei nº 9.613, de 1998, ou com eles relacionar-se, com infração ao art. 11, inciso II, alínea "b" da mesma Lei, e aos arts. 5º e 6º da Resolução Coaf nº 25, de 2013; e</w:t>
      </w:r>
    </w:p>
    <w:p>
      <w:r>
        <w:t>5. multa pecuniária, de acordo com o art. 12, § 2º, inciso II, da Lei nº 9.613, de 1998, no valor absoluto de R$ 1.000,00 (mil reais), considerando a reduzida quantidade de inconformidades identificadas em seu período de gestão, por deficiência na adoção de políticas, procedimentos e controles internos de prevenção à lavagem de dinheiro e ao financiamento do terrorismo e da proliferação de armas de destruição em massa (PLD/FTP), que permitam atender ao disposto nos arts. 10 e 11, ambos da Lei nº 9.613, de 1998, com infração ao art. 10, inciso III, da mesma Lei, combinado com os arts. 1º a 7º e 11, todos da Resolução Coaf nº 25, de 2013, bem como, mais recentemente, à Resolução Coaf nº 36, de 2021.</w:t>
      </w:r>
    </w:p>
    <w:p>
      <w:r>
        <w:t>Para a decisão, observado sem divergência o padrão firmado pelo Plenário do Coaf nesse sentido, foram considerados o setor de atividade da empresa, seu porte, a primariedade dos interessados, os diferentes períodos de gestão dos administradores, a gravidade dos fatos, os esforços e as melhorias visando à conformidade com os deveres de PLD/FTP, bem como a dosimetria adotada em casos semelhantes apreciados pelo Plenário do Coaf. Constaram a respeito no voto condutor do julgado termos como os seguintes: "Diante do exposto, concluo que não há como eximir os interessados das imputações referentes aos itens [...] da análise, com as ressalvas pontuais acima especificadas, quais sejam, a redução, no tocante à primeira imputação, de 80 operações do contexto de 1.496 operações examinadas; a subtração, no que concerne à segunda imputação, das 6 operações reconciliadas e das duas operações com registro indevido de desconto; a redução, referente à terceira imputação das 76 operações que envolveram valores em espécie pagos mediante depósito em espécie em conta bancária da empresa imputada. Considerando os critérios do art. 12 da Lei nº 9.613, de 1998, notadamente a gravidade das infrações, com destaque para a extensão praticamente universal das falhas de identificação constatadas no item (a), o porte da empresa e o volume financeiro das operações envolvidas, bem como a postura colaborativa demonstrada ao longo da averiguação, voto pela responsabilidade administrativa de FLORENÇA VEÍCULOS S.A [...]".</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para prevenir a ocorrência de novas infrações como as examinadas [...], bem como sanear as situações que as tenham caracterizado, notadamente no que se refere à estruturação de campo próprio para coleta de documento de identidade no sistema interno de cadastro de clientes, sob pena de ensejarem futuras sanções administrativas por novas infrações do gênero".</w:t>
      </w:r>
    </w:p>
    <w:p>
      <w:r>
        <w:t>Além da Presidente Suplente, votaram integralmente com a Relatora os Conselheiros Marcus Vinícius de Carvalho, Gustavo da Silva Dias, Sérgio Djundi Taniguchi, Raniere Rocha Lins, Marcelo Souza Della Nina, Guilherme Ayres Jameli, Fabio Guimarães Bensoussan e Daniel Mostardeiro Cola. Apenas quanto à dosimetria indicada nos itens "3" das listas acima que reúnem as sanções aplicadas a cada interessado, o Conselheiro Nelson Alves de Aguiar Júnior manifestou-se pela aplicação de multa de 5% para a pessoa jurídica, sobre a parcela em espécie das operações não comunicadas, e, por consequência e proporcionalidade, pelo reajuste das multas dos administradores, restando vencido.</w:t>
      </w:r>
    </w:p>
    <w:p>
      <w:r>
        <w:t>Foi realizada sustentação oral pela Dra. Edrisa Costa Pereira, OAB/PR nº 39.900, procuradora dos interessados.</w:t>
      </w:r>
    </w:p>
    <w:p>
      <w:r>
        <w:t>CAROLINA YUMI DE SOUZA</w:t>
      </w:r>
    </w:p>
    <w:p>
      <w:r>
        <w:t>Presidente Suplente do Conselho</w:t>
      </w:r>
    </w:p>
    <w:p>
      <w:r>
        <w:t>EVELINE MARTINS BRITO</w:t>
      </w:r>
    </w:p>
    <w:p>
      <w:r>
        <w:t>Relatora</w:t>
      </w:r>
    </w:p>
    <w:p>
      <w:pPr>
        <w:pStyle w:val="Heading2"/>
      </w:pPr>
      <w:r>
        <w:t>DECISÃO Nº 33/2026</w:t>
      </w:r>
    </w:p>
    <w:p>
      <w:r>
        <w:t>Categoria: Banco Central do Brasil/Conselho de Controle de Atividades Financeiras</w:t>
      </w:r>
    </w:p>
    <w:p>
      <w:r>
        <w:t>Página: 150</w:t>
      </w:r>
    </w:p>
    <w:p/>
    <w:p>
      <w:r>
        <w:t>DECISÃO Nº 33/2026</w:t>
      </w:r>
    </w:p>
    <w:p>
      <w:r>
        <w:t>PROCESSO ADMINISTRATIVO SANCIONADOR Nº 11893.000152/2025-88</w:t>
      </w:r>
    </w:p>
    <w:p>
      <w:r>
        <w:t>INTERESSADOS: CJ LOANS FOMENTO MERCANTIL FACTORING EIRELI (ATUAL SHC ENTRETENIMENTO PUBLICIDADE E CONTEÚDOS DIGITAIS LTDA.), CNPJ 32.837.212/0001-14; E HYUN MI CHO CHUNG; CPF ***.962.***-02.</w:t>
      </w:r>
    </w:p>
    <w:p>
      <w:r>
        <w:t>PROCURADOR: NÃO CONSTITUÍDO.</w:t>
      </w:r>
    </w:p>
    <w:p>
      <w:r>
        <w:t>SESSÃO DE JULGAMENTO: 4 DE AGOSTO DE 2026.</w:t>
      </w:r>
    </w:p>
    <w:p>
      <w:r>
        <w:t>RELATOR: Sérgio Luiz Messias de Lima.</w:t>
      </w:r>
    </w:p>
    <w:p>
      <w:r>
        <w:t>FINALIDADE: Tornar pública a Decisão COAF nº 33, de 4/8/2026.</w:t>
      </w:r>
    </w:p>
    <w:p>
      <w:r>
        <w:t>EMENTA: Fomento Comercial (Factoring) - Descumprimento do dever de manter cadastro atualizado no Coaf (infração caracterizada) - Não atendimento às requisições formuladas pelo Coaf na periodicidade, forma e condições por ele estabelecidas (infração caracterizada) - Não comunicação de ausência de operações ou propostas passíveis de serem comunicadas ao Coaf (infração caracterizada).</w:t>
      </w:r>
    </w:p>
    <w:p>
      <w:r>
        <w:t>DECISÃO: Vistos, relatados e discutidos os autos do processo em epígrafe, o Plenário do Conselho de Controle de Atividades Financeiras (Coaf) decidiu, por unanimidade, nos termos do voto do Relator, pela responsabilidade administrativa de CJ LOANS FOMENTO MERCANTIL FACTORING EIRELI (ATUAL SHC ENTRETENIMENTO PUBLICIDADE E CONTEÚDOS DIGITAIS LTDA.) e HYUN MI CHO CHUNG, aplicando-lhes as penalidades a seguir individualizadas:</w:t>
      </w:r>
    </w:p>
    <w:p>
      <w:r>
        <w:t>a) para CJ LOANS FOMENTO MERCANTIL FACTORING EIRELI:</w:t>
      </w:r>
    </w:p>
    <w:p>
      <w:r>
        <w:t>1. multa pecuniária, de acordo com o art. 12, inciso II, alínea "c", e § 2º, inciso IV, da Lei nº 9.613, de 3 de março de 1998, no valor de R$ 106.800,00 (cento e seis mil e oitocentos reais), pelo não envio de comunicação de inexistência de operações ou propostas de operações a serem comunicadas ao Coaf, referentes aos anos de 2019, 2020, 2021, 2022, 2023 e 2024, com infração ao art. 11, inciso III, da mesma Lei, combinado com arts. 14 e 15 da Resolução Coaf nº 21, de 20 de dezembro de 2012, sucedidos pelos arts. 26 e 29 da Resolução Coaf nº 41, de 8 de agosto de 2022;</w:t>
      </w:r>
    </w:p>
    <w:p>
      <w:r>
        <w:t>2. multa pecuniária, de acordo com o art. 12, inciso II, alínea "c", e § 2º, inciso II, da Lei nº 9.613, de 1998, no valor de R$ 17.800,00 (dezessete mil e oitocentos reais), pelo descumprimento do dever de manter cadastro atualizado no Coaf, com infração ao art. 10, inciso IV, da mesma Lei, combinado com o art. 19 da Resolução Coaf nº 21, de 2012, sucedido pelo art. 33 da Resolução Coaf nº 41, de 2022; e art. 3º da IN Coaf nº 5, de 30 de setembro de 2020; e</w:t>
      </w:r>
    </w:p>
    <w:p>
      <w:r>
        <w:t>3. multa pecuniária, de acordo com o art. 12, inciso II, alínea "c", e § 2º, inciso III, da Lei nº 9.613, de 1998, no valor de R$ 60.000,00 (sessenta mil reais), por não atendimento às requisições formuladas pelo Coaf na periodicidade, forma e condições por ele estabelecidas, com infração ao art. 10, inciso V, da mesma Lei, combinado com o art. 35 da Resolução Coaf nº 41, de 2022;</w:t>
      </w:r>
    </w:p>
    <w:p>
      <w:r>
        <w:t>b) para HYUN MI CHO CHUNG:</w:t>
      </w:r>
    </w:p>
    <w:p>
      <w:r>
        <w:t>1. multa pecuniária, de acordo com o art. 12, inciso II, alínea "c", e § 2º, inciso IV, da Lei nº 9.613, de 1998, no valor de R$ 26.700,00 (vinte e seis mil e setecentos reais), equivalente a 25% do valor aplicado à pessoa jurídica, pelo não envio de comunicação de inexistência de operações ou propostas de operações a serem comunicadas ao Coaf, referentes aos anos de 2019, 2020,2021, 2022, 2023 e 2024, com infração ao art. 11, inciso III, da mesma Lei, combinado com arts. 14 e 15 da Resolução Coaf nº 21, de 2012, sucedidos pelos arts. 26 e 29 da Resolução Coaf nº 41, de 2022;</w:t>
      </w:r>
    </w:p>
    <w:p>
      <w:r>
        <w:t>2. multa pecuniária, de acordo com o art. 12, inciso II, alínea "c", e § 2º, inciso II, da Lei nº 9.613, de 1998, no valor de R$ 4.450,00 (quatro mil, quatrocentos e cinquenta reais), equivalente a 25% do valor aplicado à pessoa jurídica, pelo descumprimento do dever de manter cadastro atualizado no Coaf, com infração ao art. 10, inciso IV, da mesma Lei, combinado com o art. 19 da Resolução Coaf nº 21, de 2012, sucedido pelo art. 33 da Resolução Coaf nº 41, de 2022; e art. 3º da IN Coaf nº 5, de 2020; e</w:t>
      </w:r>
    </w:p>
    <w:p>
      <w:r>
        <w:t>3. multa pecuniária, de acordo com o art. 12, inciso II, alínea "c", e § 2º, inciso III, da Lei nº 9.613, de 1998, no valor de R$ 15.000,00 (quinze mil reais), equivalente a 25% do valor aplicado à pessoa jurídica, por não atendimento às requisições formuladas pelo Coaf na periodicidade, forma e condições por ele estabelecidas, com infração ao art. 10, inciso V, da mesma Lei, combinado com o art. 35 da Resolução Coaf nº 41, de 2022.</w:t>
      </w:r>
    </w:p>
    <w:p>
      <w:r>
        <w:t>Para a decisão, observado sem divergência o padrão firmado pelo Plenário do Coaf nesse sentido, foram considerados o setor de atividade da empresa, seu porte, a primariedade dos interessados, a indicação de saneamento quanto ao cadastro da pessoa jurídica, a expectativa de maior maturidade dos supervisionados quanto aos deveres de PLD/FTP, decorridos mais de 11 anos da regulamentação do tema pelo Coaf, a necessidade da recomposição do valor monetário das multas, dada a defasagem superior a 7 anos dos referenciais, conforme se observa no Ementário de Decisões desta Unidade de Inteligência Financeira, bem como a dosimetria adotada em casos semelhantes apreciados pelo Plenário do Coaf. Constaram a respeito no voto condutor do julgado termos como os seguintes: "[...] tendo em vista as várias tentativas de contato com a CJ LOANS sem nenhuma resposta da imputada, mantenho a imputação das infrações [...]. [...] considerando o porte da empresa, sua primariedade, a indicação de saneamento quanto ao cadastro da pessoa jurídica e a dosimetria adotada em casos semelhantes julgados pelo Plenário do Coaf. [...] Em relação aos referenciais de dosimetria aplicáveis ao caso, registra-se, ademais, que foram consideradas neste voto (i) a expectativa de maior maturidade dos supervisionados quanto aos deveres de PLD/FTP, decorridos mais de 11 anos da regulamentação do tema pelo COAF, bem como (ii) a necessidade da recomposição do valor monetário das multas, dada a defasagem superior a 7 anos dos referenciais, conforme se observa no Ementário de Decisões desta Unidade de Inteligência Financeira".</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neste voto, sob pena de darem ensejo a futuras sanções administrativas por novas infrações do gênero ou pela permanência que se possa vir a constatar quanto às situações que, apuradas neste PAS até a presente data, motivaram as sanções aplicadas até este momento".</w:t>
      </w:r>
    </w:p>
    <w:p>
      <w:r>
        <w:t>Além do Presidente, votaram integralmente com o Relator os Conselheiros Nelson Alves de Aguiar Júnior, Marcus Vinícius de Carvalho, Gustavo da Silva Dias, Sérgio Djundi Taniguchi, Raniere Rocha Lins, Guilherme Ayres Jameli, Fabio Guimarães Bensoussan, Daniel Mostardeiro Cola e Eveline Martins Brito.</w:t>
      </w:r>
    </w:p>
    <w:p>
      <w:r>
        <w:t>CAROLINA YUMI DE SOUZA</w:t>
      </w:r>
    </w:p>
    <w:p>
      <w:r>
        <w:t>Presidente Suplente do Conselho</w:t>
      </w:r>
    </w:p>
    <w:p>
      <w:r>
        <w:t>SÉRGIO LUIZ MESSIAS DE LIMA</w:t>
      </w:r>
    </w:p>
    <w:p>
      <w:r>
        <w:t>Relator</w:t>
      </w:r>
    </w:p>
    <w:p>
      <w:pPr>
        <w:pStyle w:val="Heading2"/>
      </w:pPr>
      <w:r>
        <w:t>DECISÃO Nº 34/2026</w:t>
      </w:r>
    </w:p>
    <w:p>
      <w:r>
        <w:t>Categoria: Banco Central do Brasil/Conselho de Controle de Atividades Financeiras</w:t>
      </w:r>
    </w:p>
    <w:p>
      <w:r>
        <w:t>Página: 151</w:t>
      </w:r>
    </w:p>
    <w:p/>
    <w:p>
      <w:r>
        <w:t>DECISÃO Nº 34/2026</w:t>
      </w:r>
    </w:p>
    <w:p>
      <w:r>
        <w:t>PROCESSO ADMINISTRATIVO SANCIONADOR Nº 11893.100427/2023-11</w:t>
      </w:r>
    </w:p>
    <w:p>
      <w:r>
        <w:t>INTERESSADOS: EZ MULTIMARCAS VEÍCULOS LTDA., CNPJ 04.562.300/0001-15; EMILIO ZANETIC VIDULIC FILHO, CPF ***.360.***-19; e FABIO ZANETIC VIDULIC, CPF ***.862.***-95.</w:t>
      </w:r>
    </w:p>
    <w:p>
      <w:r>
        <w:t>PROCURADOR: SÁVIO CARMONA DE LIMA, OAB/SP Nº 236.489.</w:t>
      </w:r>
    </w:p>
    <w:p>
      <w:r>
        <w:t>SESSÃO DE JULGAMENTO: 4 DE AGOSTO DE 2026.</w:t>
      </w:r>
    </w:p>
    <w:p>
      <w:r>
        <w:t>RELATORA: EVELINE MARTINS BRITO.</w:t>
      </w:r>
    </w:p>
    <w:p>
      <w:r>
        <w:t>FINALIDADE: Tornar pública a Decisão COAF nº 34, de 4/8/2026.</w:t>
      </w:r>
    </w:p>
    <w:p>
      <w:r>
        <w:t>EMENTA: Comércio de Bens de Luxo ou de Alto Valor - Descumprimento na identificação e na manutenção de cadastro atualizado de clientes (infração caracterizada) - Descumprimento na manutenção do registro de transações (infração caracterizada) - Não atendimento às requisições formuladas pelo Coaf na periodicidade, forma e condições por ele estabelecidas (infração caracterizada) - Não adoção de políticas, procedimentos e controles internos, compatíveis com seu porte e volume de operações, que lhes permitam atender ao disposto nos artigos 10 e 11 da Lei nº 9.613, de 3 de março de 1998 (infração caracterizada).</w:t>
      </w:r>
    </w:p>
    <w:p>
      <w:r>
        <w:t>DECISÃO: Vistos, relatados e discutidos os autos do processo em epígrafe, o Plenário do Conselho de Controle de Atividades Financeiras (Coaf) decidiu, por unanimidade, nos termos do voto da Relatora, (i) afastar as preliminares de (i.i) suposta instauração do processo por influência de reportagem tendenciosa na imprensa, considerando a análise técnica de elementos objetivos em ação fiscalizatória legalmente respaldada, de (i.ii) ausência nos autos de Relatório de Averiguação Preliminar (RAP), uma vez que tal documento não é ferramenta necessária e indispensável para a abertura de procedimentos sancionadores, tendo sido substituído pelo Termo de Instauração de Processo Administrativo Sancionador (TIPA), de (i.iii) arquivamento da investigação criminal que, em tese, teria justificado a abertura do processo, considerando o princípio da independência das instâncias, o qual faz com que as investigações criminais e administrativas não estejam vinculadas umas às outras, salvo em situações absolutamente excepcionais; e, (ii) no mérito, pela responsabilidade administrativa de EZ MULTIMARCAS VEÍCULOS LTDA., de EMILIO ZANETIC VIDULIC FILHO e de FABIO ZANETIC VIDULIC, aplicando-lhes as penalidades a seguir individualizadas:</w:t>
      </w:r>
    </w:p>
    <w:p>
      <w:r>
        <w:t>a) para EZ MULTIMARCAS VEÍCULOS LTDA.:</w:t>
      </w:r>
    </w:p>
    <w:p>
      <w:r>
        <w:t>1. multa pecuniária, de acordo com o art. 12, § 2º, inciso II, da Lei nº 9.613, de 1998, no valor absoluto de R$ 150.000,00 (cento e cinquenta mil reais), pelo descumprimento na identificação de clientes e na manutenção de informações cadastrais, com infração ao art. 10, inciso I e § 1º, da mesma Lei, combinado com o art. 2º, inciso I, alíneas "b" e "c", e inciso II, alínea "c", da Resolução Coaf nº 25, de 16 de janeiro de 2013, e os arts. 1º e 2º da Resolução Coaf nº 29, de 7 de dezembro de 2017, sucedida pela Resolução nº 40, de 22 de novembro de 2021;</w:t>
      </w:r>
    </w:p>
    <w:p>
      <w:r>
        <w:t>2. multa pecuniária, de acordo com o art. 12, § 2º, inciso II, da Lei nº 9.613, de 1998, no valor absoluto de R$ 200.000,00 (duzentos mil reais), pelo descumprimento na manutenção do devido registro de operações, com infração ao art. 10, inciso II da mesma Lei, combinado com o art. 3º, incisos I e VI, da Resolução Coaf nº 25, de 2013;</w:t>
      </w:r>
    </w:p>
    <w:p>
      <w:r>
        <w:t>3. multa pecuniária, de acordo com o art. 12, § 2º, inciso III, da Lei nº 9.613, de 1998, no valor absoluto de R$ 100.000,00 (cem mil reais), por não atendimento às requisições formuladas pelo Coaf na periodicidade, forma e condições por ele estabelecidas, com infração ao art. 10, inciso V, da mesma Lei, combinado com o art. 11 da Resolução Coaf nº 25, de 2013; e</w:t>
      </w:r>
    </w:p>
    <w:p>
      <w:r>
        <w:t>4. multa pecuniária, de acordo com o art. 12, § 2º, inciso II, da Lei nº 9.613, de 1998, no valor absoluto de R$ 200.000,00 (duzentos mil reais), pela não adoção de políticas, procedimentos e controles internos, compatíveis com o porte e o volume de operações, que permitam atender ao disposto nos arts. 10 e 11 da Lei nº 9.613, de 1998, com infração ao art. 10, inciso III, da mesma Lei, e as disposições da Resolução Coaf nº 25, de 2013;</w:t>
      </w:r>
    </w:p>
    <w:p>
      <w:r>
        <w:t>b) para EMILIO ZANETIC VIDULIC FILHO:</w:t>
      </w:r>
    </w:p>
    <w:p>
      <w:r>
        <w:t>1. multa pecuniária, de acordo com o art. 12, § 2º, inciso II, da Lei nº 9.613, de 1998, no valor de R$ 37.500,00 (trinta e sete mil e quinhentos reais), equivalente a 25% do valor aplicado à pessoa jurídica, ponderada a quantidade de operações no período de sua gestão, pelo descumprimento na identificação de clientes e na manutenção de informações cadastrais, com infração ao art. 10, inciso I e § 1º, da mesma Lei, combinado com o art. 2º, inciso I, alíneas "b" e "c", e inciso II, alínea "c", da Resolução Coaf nº 25, de 2013, e os arts. 1º e 2º da Resolução Coaf nº 29, de 2017, sucedida pela Resolução nº 40, de 2021;</w:t>
      </w:r>
    </w:p>
    <w:p>
      <w:r>
        <w:t>2. multa pecuniária, de acordo com o art. 12, § 2º, inciso II, da Lei nº 9.613, de 1998, no valor de R$ 50.000,00 (cinquenta mil reais), equivalente a 25% do valor aplicado à pessoa jurídica, ponderada a quantidade de operações no período de sua gestão, pelo descumprimento na manutenção do devido registro de operações, com infração ao art. 10, inciso II da mesma Lei, combinado com o art. 3º, incisos I e VI, da Resolução Coaf nº 25, de 2013;</w:t>
      </w:r>
    </w:p>
    <w:p>
      <w:r>
        <w:t>3. multa pecuniária, de acordo com o art. 12, § 2º, inciso III, da Lei nº 9.613, de 1998, no valor de R$ 25.000,00 (vinte e cinco mil reais), equivalente a 25% do valor aplicado à pessoa jurídica, ponderado o período de gestão na empresa, por não atendimento às requisições formuladas pelo Coaf na periodicidade, forma e condições por ele estabelecidas, com infração ao art. 10, inciso V, da mesma Lei, combinado com o art. 11 da Resolução Coaf nº 25, de 2013; e</w:t>
      </w:r>
    </w:p>
    <w:p>
      <w:r>
        <w:t>4. multa pecuniária, de acordo com o art. 12, § 2º, inciso II, da Lei nº 9.613, de 1998, no valor de R$ 50.000,00 (cinquenta mil reais), equivalente a 25% do valor aplicado à pessoa jurídica, ponderado o período de gestão na empresa, pela não adoção de políticas, procedimentos e controles internos, compatíveis com o porte e o volume de operações, que permitam atender ao disposto nos arts. 10 e 11 da Lei nº 9.613, de 1998, com infração ao art. 10, inciso III, da mesma Lei, e as disposições da Resolução Coaf nº 25, de 2013;</w:t>
      </w:r>
    </w:p>
    <w:p>
      <w:r>
        <w:t>c) para FABIO ZANETIC VIDULIC:</w:t>
      </w:r>
    </w:p>
    <w:p>
      <w:r>
        <w:t>1. multa pecuniária, de acordo com o art. 12, § 2º, inciso II, da Lei nº 9.613, de 1998, no valor de R$ 18.000,00 (dezoito mil reais), equivalente a 25% do valor aplicado à pessoa jurídica, ponderada a quantidade de operações no período de sua gestão, pelo descumprimento na identificação de clientes e na manutenção de informações cadastrais, com infração ao art. 10, inciso I e § 1º, da mesma Lei, combinado com o art. 2º, inciso I, alíneas "b" e "c", e inciso II, alínea "c", da Resolução Coaf nº 25, de 2013, e os arts. 1º e 2º da Resolução Coaf nº 29, de 2017, sucedida pela Resolução nº 40, de 2021;</w:t>
      </w:r>
    </w:p>
    <w:p>
      <w:r>
        <w:t>2. multa pecuniária, de acordo com o art. 12, § 2º, inciso II, da Lei nº 9.613, de 1998, no valor de R$ 24.000,00 (vinte e quatro mil reais), equivalente a 25% do valor aplicado à pessoa jurídica, ponderada a quantidade de operações no período de sua gestão, pelo descumprimento na manutenção do devido registro de operações, com infração ao art. 10, inciso II da mesma Lei, combinado com o art. 3º, incisos I e VI, da Resolução Coaf nº 25, de 2013; e</w:t>
      </w:r>
    </w:p>
    <w:p>
      <w:r>
        <w:t>3. multa pecuniária, de acordo com o art. 12, § 2º, inciso II, da Lei nº 9.613, de 1998, no valor de R$ 28.000,00 (vinte e oito mil reais), equivalente a 25% do valor aplicado à pessoa jurídica, ponderado o período de gestão da empresa, pela não adoção de políticas, procedimentos e controles internos, compatíveis com o porte e o volume de operações, que permitam atender ao disposto nos arts. 10 e 11 da Lei nº 9.613, de 1998, com infração ao art. 10, inciso III, da mesma Lei, e as disposições da Resolução Coaf nº 25, de 2013.</w:t>
      </w:r>
    </w:p>
    <w:p>
      <w:r>
        <w:t>Para a decisão, observado sem divergência o padrão firmado pelo Plenário do Coaf nesse sentido, foram considerados o setor de atividade da empresa, seu porte, os diferentes períodos de gestão dos administradores, a gravidade dos fatos, o volume das operações envolvidas, bem como a dosimetria adotada em casos semelhantes apreciados pelo Plenário do Coaf. Constaram a respeito no voto condutor do julgado termos como os seguintes: "ao deixar de apresentar as informações relacionadas às pessoas físicas envolvidas nas operações ou ao apresentá-las com significativas inconsistências, a empresa não cumpriu integralmente as exigências que lhe são impostas, deixando de informar elementos essenciais e protagonistas do tipo legal. [...] No tocante, por seu turno, às informações cadastrais das pessoas jurídicas com as quais foram realizadas as outras [...] operações [...] identificou-se a ausência de dados de identificação do preposto da pessoa jurídica e de avaliação da sua condição de PEP. [...] As falhas na identificação dos clientes com os quais foram realizadas as operações que compuseram a amostra e as inconsistências na indicação dos meios de pagamento utilizados em sua realização [...], compromete diretamente a transparência, a verificabilidade e a confiabilidade das informações sujeitas à fiscalização, caracterizando descumprimento material das obrigações regulatórias impostas à empresa supervisionada. [...].</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w:t>
      </w:r>
    </w:p>
    <w:p>
      <w:r>
        <w:t>Além da Presidente Suplente, votaram integralmente com a Relatora os Conselheiros Nelson Alves de Aguiar Júnior, Marcus Vinícius de Carvalho, Gustavo da Silva Dias, Sérgio Djundi Taniguchi, Raniere Rocha Lins, Marcelo Souza Della Nina, Guilherme Ayres Jameli, Fábio Guimarães Bensoussan e Daniel Mostardeiro Cola.</w:t>
      </w:r>
    </w:p>
    <w:p>
      <w:r>
        <w:t>CAROLINA YUMI DE SOUZA</w:t>
      </w:r>
    </w:p>
    <w:p>
      <w:r>
        <w:t>Presidente Suplente do Conselho</w:t>
      </w:r>
    </w:p>
    <w:p>
      <w:r>
        <w:t>EVELINE MARTINS BRITO</w:t>
      </w:r>
    </w:p>
    <w:p>
      <w:r>
        <w:t>Relatora</w:t>
      </w:r>
    </w:p>
    <w:p>
      <w:pPr>
        <w:pStyle w:val="Heading2"/>
      </w:pPr>
      <w:r>
        <w:t>DECISÃO Nº 37/2026</w:t>
      </w:r>
    </w:p>
    <w:p>
      <w:r>
        <w:t>Categoria: Banco Central do Brasil/Conselho de Controle de Atividades Financeiras</w:t>
      </w:r>
    </w:p>
    <w:p>
      <w:r>
        <w:t>Página: 151</w:t>
      </w:r>
    </w:p>
    <w:p/>
    <w:p>
      <w:r>
        <w:t>DECISÃO Nº 37/2026</w:t>
      </w:r>
    </w:p>
    <w:p>
      <w:r>
        <w:t>PROCESSO ADMINISTRATIVO SANCIONADOR Nº 11893.100860/2021-94</w:t>
      </w:r>
    </w:p>
    <w:p>
      <w:r>
        <w:t>INTERESSADOS: FCA FIAT CHRYSLER AUTOMÓVEIS BRASIL LTDA. (ATUAL STELLANTIS AUTOMÓVEIS BRASIL LTDA.), CNPJ 16.701.716/0001-56; ALDO MARANGONI, CPF ***.713.***-35; ANTÔNIO FILOSA, CPF ***.024.***-71; CARLOS EUGÊNIO FONSECA DUTRA, CPF ***.961.***-91; CLAUDIO DEMARIA, CPF ***.106.***-65; DAVIDE MELE, CPF ***.878.***-22; EMANUELE CAPPELLANO, CPF ***.371.***-46; ERICA BALDINI, CPF ***.980.***-71; FRANCESCO ABBRUZZESI, CPF Nº ***.993.***-90; FRANCESCO CIANCIA, CPF ***.120.***-06; GERALDO BARRA ROCHA, CPF ***.899.***-73; GILSON DE OLIVEIRA CARVALHO, CPF ***.255.***-66; HERLANDER ZOLA DOS SANTOS, CPF ***.307.***-11; JOÃO EDUARDO LARANJO ALVES FERREIRA, CPF ***.754.***-89; JOÃO IRINEU MEDEIROS, CPF ***.515.***-20; LUÍS ROBERTO SANTAMARIA, CPF ***.021.***-01; MÁRCIO DE LIMA LEITE, CPF ***.263.***-53; MÁRCIO HENRIQUE TONANI, CPF Nº ***.912.***-78; MÁRIO GRAZIANO BORIO, CPF ***.124.***-07; MAURO FRANCESCO PINO, CPF ***.265.***-46; PIERLUIGI ASTORINO, CPF ***.976.***-00; RICHARD CHRISTIAN SCHWARZWALD, CPF ***.531.***-78; SÉRGIO FERREIRA DOS SANTOS, CPF ***.425.***-15; STEFAN KETTER, CPF ***.839.***-01; E TANIA PAULA PEREIRA INÁCIO SILVESTRI, CPF ***.247.***-32.</w:t>
      </w:r>
    </w:p>
    <w:p>
      <w:r>
        <w:t>PROCURADOR: THIAGO LUÍS SANTOS SOMBRA - OAB/DF nº 22.631.</w:t>
      </w:r>
    </w:p>
    <w:p>
      <w:r>
        <w:t>SESSÃO DE JULGAMENTO: 4 DE AGOSTO DE 2026.</w:t>
      </w:r>
    </w:p>
    <w:p>
      <w:r>
        <w:t>RELATOR: RANIERE ROCHA LINS.</w:t>
      </w:r>
    </w:p>
    <w:p>
      <w:r>
        <w:t>FINALIDADE: Tornar pública a Decisão COAF nº 37, de 4/8/2026.</w:t>
      </w:r>
    </w:p>
    <w:p>
      <w:r>
        <w:t>EMENTA: Comércio de Bens de Luxo ou de Alto Valor - Descumprimento na identificação e na manutenção de cadastro atualizado de clientes (infração caracterizada) - Descumprimento na manutenção do registro de transações (infração caracterizada) - Não adoção de políticas, procedimentos e controles internos, compatíveis com seu porte e volume de operações, que lhes permitam atender ao disposto nos artigos 10 e 11 da Lei nº 9.613, de 3 de março de 1998 (infração caracterizada) - Não atendimento às requisições formuladas pelo COAF na periodicidade, forma e condições por ele estabelecidas (infração não caracterizada) - Não comunicação de operações que, nos termos de instruções emanadas das autoridades competentes, podiam constituir-se em sérios indícios dos crimes previstos na Lei nº 9.613, de 1998, ou com eles relacionar-se (infração não caracterizada).</w:t>
      </w:r>
    </w:p>
    <w:p>
      <w:r>
        <w:t>DECISÃO: Vistos, relatados e discutidos os autos do processo em epígrafe, o Plenário do Conselho de Controle de Atividades Financeiras (Coaf) decidiu, por unanimidade e nos termos do voto do Relator, (i) em sede de preliminares, (i.i) afastar a alegação de ocorrência de prescrição da ação punitiva da Administração Pública, uma vez vez que entre os fatos e os marcos interruptivos não foi atingido o prazo de 5 (cinco) anos; (i.ii) afastar o argumento de ocorrência de prescrição intercorrente, tendo em vista que o Processo Administrativo Sancionador (PAS) não ficou paralisado por mais de três anos; (i.iii) afastar a asserção de falta de individualização das condutas dos administradores imputados, visto que, em se tratando de infração administrativa omissiva a determinado dever regulatório, a responsabilidade do sócios administradores decorre do seu poder-dever de agir, sob a perspectiva da culpa in vigilando e da culpa in eligendo; (i.iv) afastar a arguição de ilegitimidade passiva e ausência de nexo causal referente aos imputados ALDO MARANGONI, CLAUDIO DEMARIA, DAVIDE MELE, ERICA BALDINI, FRANCESCO ABBRUZZESI, FRANCESCO CIANCIA, GERALDO BARRA ROCHA, JOÃO IRINEU MEDEIROS, LUÍS ROBERTO SANTAMARIA, MARCIO HENRIQUE TONANI, MAURO FRANCESCO PINO, PIERLUIGI ASTORINO e RICHARD CHRISTIAN SCHWARZWALD, vez que a Carta-Circular Coaf nº 1/2014 possuía caráter meramente de orientação operacional; (i.v) reconhecer a extinção da punibilidade dos sócios administradores SÉRGIO FERREIRA DOS SANTOS e CLÁUDIO DEMARIA, em razão do seu falecimento, considerando o princípio da personalidade da sanção ou intranscendência da pena; e (ii) no mérito, (ii.i) arquivar a imputação de não atendimento à requisição do Coaf, na forma e condições estabelecidas, com infração ao art. 10, inciso V, da Lei nº 9.613, de 1998, e ao art. 11 da Resolução Coaf nº 25, de 2013, em relação a todos os interessados, considerando elementos no PAS que demonstram a prestação de informações pela empresa frente às provocações do órgão; (ii.ii) arquivar a imputação de ausência de comunicação ao Coaf, via Siscoaf, de operações que lhe deviam ter sido comunicadas, com infração ao art. 11, inciso II, alínea "b", da Lei nº 9.613, de 1998, e aos arts. 5º e 6º da Resolução Coaf nº 25, de 2013, bem como aos arts. 2º, inciso IV, e 3º da Instrução Normativa (IN) Coaf nº 4, de 16 de outubro de 2015, sucedidos por congêneres disposições da IN Coaf nº 7, de 9 de abril de 2021, uma vez se tratar de operações ocorridas no período em que foi veiculada, no sítio do Coaf, orientação já superada que dispensava a comunicação de depósitos em espécie realizados em contas bancárias das empresas do setor regulado; (ii.iii) reconhecer a responsabilidade administrativa de ALDO MARANGONI, DAVIDE MELE, ERICA BALDINI, FRANCESCO ABBRUZZESI, FRANCESCO CIANCIA, GERALDO BARRA ROCHA, JOÃO IRINEU MEDEIROS, LUÍS ROBERTO SANTAMARIA, MARCIO HENRIQUE TONANI, MAURO FRANCESCO PINO, PIERLUIGI ASTORINO e RICHARD CHRISTIAN SCHWARZWALD, no tocante à imputação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 modulando, contudo, seus efeitos a fim de deixar de aplicar-lhes pena pecuniária, tendo em vista a impertinência temática entre os cargos que ocupavam na FCA FIAT CHRYSLER AUTOMÓVEIS BRASIL LTDA. à época dos fatos e a prevenção à lavagem de dinheiro e ao financiamento do terrorismo e da proliferação de armas de destruição em massa (PLD/FTP); e (ii.iv) reconhecer a responsabilidade administrativa de FCA FIAT CHRYSLER AUTOMÓVEIS BRASIL LTDA., ALDO MARANGONI, ANTÔNIO FILOSA, CARLOS EUGÊNIO FONSECA DUTRA, DAVIDE MELE, EMANUELE CAPPELLANO, ERICA BALDINI, FRANCESCO ABBRUZZESI, FRANCESCO CIANCIA, GERALDO BARRA ROCHA, GILSON DE OLIVEIRA CARVALHO, HERLANDER ZOLA DOS SANTOS, JOÃO EDUARDO LARANJO ALVES FERREIRA, JOÃO IRINEU MEDEIROS, LUÍS ROBERTO SANTAMARIA, MÁRCIO DE LIMA LEITE, MÁRCIO HENRIQUE TONANI, MÁRIO GRAZIANO BORIO, MAURO FRANCESCO PINO, PIERLUIGI ASTORINO, RICHARD CHRISTIAN SCHWARZWALD, STEFAN KETTER e TANIA PAULA PEREIRA INÁCIO SILVESTRI, aplicando-lhes as penalidades a seguir individualizadas:</w:t>
      </w:r>
    </w:p>
    <w:p>
      <w:r>
        <w:t>a) para FCA FIAT CHRYSLER AUTOMÓVEIS BRASIL LTDA.:</w:t>
      </w:r>
    </w:p>
    <w:p>
      <w:r>
        <w:t>1. multa pecuniária, de acordo com o art. 12, § 2º, inciso II, da Lei nº 9.613, de 1998, no valor absoluto de R$ 3.000.000,00 (três milhões de reais), por descumprimento na identificação de clientes e na manutenção de cadastro, com infração ao art. 10, inciso I e § 1º, da mesma Lei, combinado com o art. 2º, inciso I, alínea "c" e inciso II, alínea "c", da Resolução Coaf nº 25, de 16 de janeiro de 2013, e arts. 1º e 2º da Resolução Coaf nº 29, de 7 de dezembro de 2017, sucedidos pelos arts. 1º e 2º da Resolução Coaf nº 40, de 22 de novembro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absoluto de R$ 400.000,00 (quatrocentos mil reais),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10 de março de 2021;</w:t>
      </w:r>
    </w:p>
    <w:p>
      <w:r>
        <w:t>b) para MÁRCIO DE LIMA LEITE:</w:t>
      </w:r>
    </w:p>
    <w:p>
      <w:r>
        <w:t>1. multa pecuniária, de acordo com o art. 12, § 2º, inciso II, da Lei nº 9.613, de 1998, no valor de R$ 750.000,00 (setecentos e cinquenta mil reais), equivalente a 25% do valor aplicado à pessoa jurídica,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de R$ 100.000,00 (cem mil reais), equivalente a 25% do valor aplicado à pessoa jurídica,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c) para FRANCESCO ABBRUZZESI:</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d) para ALDO MARANGONI:</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e) para ANTÔNIO FILOSA:</w:t>
      </w:r>
    </w:p>
    <w:p>
      <w:r>
        <w:t>1. multa pecuniária, de acordo com o art. 12, § 2º, inciso II, da Lei nº 9.613, de 1998, no valor de R$ 749.769,75 (setecentos e quarenta e nove mil, setecentos e sessenta e nove reais e setenta e cinco centavos), equivalente a 25% do valor aplicado à pessoa jurídica, proporcional ao período de sua gestão,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de R$ 78.217,48 (setenta e oito mil, duzentos e dezessete reais e quarenta e oito centavos), equivalente a 25% do valor aplicado à pessoa jurídica, proporcional ao período de sua gestão,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f) para EMANUELE CAPPELLANO:</w:t>
      </w:r>
    </w:p>
    <w:p>
      <w:r>
        <w:t>1. multa pecuniária, de acordo com o art. 12, § 2º, inciso II, da Lei nº 9.613, de 1998, no valor de R$ 749.539,45 (setecentos e quarenta e nove mil, quinhentos e trinta e nove reais e quarenta e cinco centavos), equivalente a 25% do valor aplicado à pessoa jurídica, proporcional ao período de sua gestão,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de R$ 72.626,40 (setenta e dois mil, seiscentos e vinte e seis reais e quarenta centavos), equivalente a 25% do valor aplicado à pessoa jurídica, proporcional ao período de sua gestão,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g) para ERICA BALDINI:</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h) para MÁRCIO HENRIQUE TONANI:</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i) para LUÍS ROBERTO SANTAMARIA:</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j) para TANIA PAULA PEREIRA INÁCIO SILVESTRI:</w:t>
      </w:r>
    </w:p>
    <w:p>
      <w:r>
        <w:t>1. multa pecuniária, de acordo com o art. 12, § 2º, inciso II, da Lei nº 9.613, de 1998, no valor de R$ 749.217,07 (setecentos e quarenta e nove mil, duzentos e dezessete reais e sete centavos), equivalente a 25% do valor aplicado à pessoa jurídica, proporcional ao período de sua gestão,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de R$ 38.676,44 (trinta e oito mil, seiscentos e setenta e seis reais e quarenta e quatro centavos), equivalente a 25% do valor aplicado à pessoa jurídica, proporcional ao período de sua gestão,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k) para HERLANDER ZOLA DOS SANTOS:</w:t>
      </w:r>
    </w:p>
    <w:p>
      <w:r>
        <w:t>1. multa pecuniária, de acordo com o art. 12, § 2º, inciso II, da Lei nº 9.613, de 1998, no valor de R$ 749.217,07 (setecentos e quarenta e nove mil, duzentos e dezessete reais e sete centavos), equivalente a 25% do valor aplicado à pessoa jurídica, proporcional ao período de sua gestão,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de R$ 38.676,44 (trinta e oito mil, seiscentos e setenta e seis reais e quarenta e quatro centavos), equivalente a 25% do valor aplicado à pessoa jurídica, proporcional ao período de sua gestão,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l) para RICHARD CHRISTIAN SCHWARZWALD:</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m) para MÁRIO GRAZIANO BORIO:</w:t>
      </w:r>
    </w:p>
    <w:p>
      <w:r>
        <w:t>1. multa pecuniária, de acordo com o art. 12, § 2º, inciso II, da Lei nº 9.613, de 1998, no valor absoluto de R$ 1.250,00 (um mil e duzentos e cinquenta reais), em observância à recomendação nº 35 do GAFI,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absoluto de R$ 1.000,00 (mil reais), em observância à recomendação nº 35 do GAFI,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n) para STEFAN KETTER:</w:t>
      </w:r>
    </w:p>
    <w:p>
      <w:r>
        <w:t>1. multa pecuniária, de acordo com o art. 12, § 2º, inciso II, da Lei nº 9.613, de 1998, no valor absoluto de R$ 1.250,00 (um mil e duzentos e cinquenta reais), em observância à recomendação nº 35 do GAFI,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inciso I,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absoluto de R$ 1.000,00 (mil reais), em observância à recomendação nº 35 do GAFI,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o) para MAURO FRANCESCO PINO:</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p) para CARLOS EUGÊNCIO FONSECA DUTRA:</w:t>
      </w:r>
    </w:p>
    <w:p>
      <w:r>
        <w:t>1. multa pecuniária, de acordo com o art. 12, § 2º, inciso II, da Lei nº 9.613, de 1998, no valor absoluto de R$ 1.250,00 (um mil e duzentos e cinquenta reais), em observância à recomendação nº 35 do GAFI,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absoluto de R$ 1.000,00 (mil reais), em observância à recomendação nº 35 do GAFI,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q) para GILSON DE OLIVEIRA CARVALHO:</w:t>
      </w:r>
    </w:p>
    <w:p>
      <w:r>
        <w:t>1. multa pecuniária, de acordo com o art. 12, § 2º, inciso II, da Lei nº 9.613, de 1998, no valor absoluto de R$ 1.250,00 (um mil e duzentos e cinquenta reais), em observância à recomendação nº 35 do GAFI,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absoluto de R$ 1.000,00 (mil reais), em observância à recomendação nº 35 do GAFI,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r) para JOÃO EDUARDO LARANJO ALVES FERREIRA:</w:t>
      </w:r>
    </w:p>
    <w:p>
      <w:r>
        <w:t>1. multa pecuniária, de acordo com o art. 12, § 2º, inciso II, da Lei nº 9.613, de 1998, no valor absoluto de R$ 1.250,00 (um mil e duzentos e cinquenta reais), em observância à recomendação nº 35 do GAFI,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absoluto de R$ 1.000,00 (mil reais), em observância à recomendação nº 35 do GAFI,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s) para GERALDO BARRA ROCHA:</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t) para FRANCESCO CIANCIA:</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u) para DAVIDE MELE:</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v) para JOÃO IRINEU MEDEIROS:</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w) para PIERLUIGI ASTORINO:</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Para a decisão, observado sem divergência o padrão firmado pelo Plenário do Coaf nesse sentido, foram considerados o setor de atividade da empresa, seu porte, os diferentes períodos de gestão dos administradores, a impertinência temática entre os cargos que alguns imputados ocupavam na empresa e a PLD/FTP, os esforços e as melhorias visando à conformidade com os deveres de PLD/FTP, bem como a dosimetria adotada em casos semelhantes apreciados pelo Plenário do Coaf. Constaram a respeito no voto condutor do julgado termos como os seguintes: "Em relação aos 13 administradores listados no parágrafo 18, em que pese não se afastar sua responsabilidade administrativa, deve-se entretanto ponderar o grau de culpabilidade em função das atribuições funcionais que se deduz de cada posição ocupada na empresa. Nesse sentido, tem-se que a impertinência temática entre aquelas atribuições e a PLD/FTP merece ser levada em consideração quando da fixação da dosimetria." [...] "Nesse contexto, há de se reconhecer um avanço significativo na adoção de tais medidas, mas que não são capazes de afastar a inobservância pretérita de obrigações e deveres neste sentido. O que se tem evidente, pelo menos para este Relator, é que o presente PAS ensejou um divisor de águas na política PLD/FTP da FCA Fiat Chrysler Automóveis Brasil Ltda., tendo um cenário pré-averiguação preliminar, no qual medidas básicas eram comprovadamente não atendidas; e um outro cenário após averiguação preliminar, no qual se verificam elementos concretos e robustos em busca de atendimento das normas PLD/FTP."</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da Presidente Suplente, votaram integralmente com o Relator, nos termos do seu voto readequado, os Conselheiros Nelson Alves de Aguiar Júnior, Marcus Vinícius de Carvalho, Gustavo da Silva Dias, Sérgio Djundi Taniguchi, Marcelo Souza Della Nina, Guilherme Ayres Jameli, Fábio Guimarães Bensoussan, Daniel Mostardeiro Cola e Eveline Martins Brito.</w:t>
      </w:r>
    </w:p>
    <w:p>
      <w:r>
        <w:t>Foi realizada sustentação oral pelo Dr. Thiago Luís Santos Sombra, OAB/DF nº 22.631, procurador de todos os interessados.</w:t>
      </w:r>
    </w:p>
    <w:p>
      <w:r>
        <w:t>CAROLINA YUMI DE SOUZA</w:t>
      </w:r>
    </w:p>
    <w:p>
      <w:r>
        <w:t>Presidente Suplente do Conselho</w:t>
      </w:r>
    </w:p>
    <w:p>
      <w:r>
        <w:t>RANIERE ROCHA LINS</w:t>
      </w:r>
    </w:p>
    <w:p>
      <w:r>
        <w:t>Relator</w:t>
      </w:r>
    </w:p>
    <w:p>
      <w:r>
        <w:br w:type="page"/>
      </w:r>
    </w:p>
    <w:p>
      <w:pPr>
        <w:pStyle w:val="Heading1"/>
      </w:pPr>
      <w:r>
        <w:t>2026-08-31</w:t>
      </w:r>
    </w:p>
    <w:p>
      <w:pPr>
        <w:pStyle w:val="Heading2"/>
      </w:pPr>
      <w:r>
        <w:t>PAUTA DE JULGAMENTO</w:t>
      </w:r>
    </w:p>
    <w:p>
      <w:r>
        <w:t>Categoria: Ministério da Fazenda/Secretaria Especial da Receita Federal do Brasil/Secretaria-Adjunta/Subsecretaria de Tributação e Contencioso/Delegacia de Julgamento da Receita Federal do Brasil 08/Décima Primeira Turma</w:t>
      </w:r>
    </w:p>
    <w:p>
      <w:r>
        <w:t>Página: 21</w:t>
      </w:r>
    </w:p>
    <w:p/>
    <w:p>
      <w:r>
        <w:t>PAUTA DE JULGAMENTO</w:t>
      </w:r>
    </w:p>
    <w:p>
      <w:r>
        <w:t>Período da Reunião de 11/09/2026 a 11/09/2026</w:t>
      </w:r>
    </w:p>
    <w:p>
      <w:r>
        <w:t>Pauta de julgamento dos recursos das sessões ordinárias da 11 Turma da DRJ08 a serem realizadas nas datas a seguir mencionadas</w:t>
      </w:r>
    </w:p>
    <w:p>
      <w:r>
        <w:t>OBSERVAÇÕES:</w:t>
      </w:r>
    </w:p>
    <w:p>
      <w:r>
        <w:t>1)Após a publicação da pauta de julgamento no DOU, você poderá enviar o vídeo / áudio contendo a sustentação oral ou arquivo de texto contendo memorial em até 5 dias da publicação da pauta de julgamento no DOU.</w:t>
      </w:r>
    </w:p>
    <w:p>
      <w:r>
        <w:t>2)A apresentação da sustentação oral deverá ser realizada por meio de gravação de vídeo ou áudio enviado através da funcionalidade Participar de Reunião de Julgamento, em Processos Digitais, no e-CAC da Receita Federal.</w:t>
      </w:r>
    </w:p>
    <w:p>
      <w:r>
        <w:t>3)Caso o patrono não tenha procuração / substabelecimento para realizar sustentação oral, favor juntá-lo aos autos.</w:t>
      </w:r>
    </w:p>
    <w:p>
      <w:r>
        <w:t>4) A aceitação da sustentação oral pleiteada está condicionada ao cumprimento dos requisitos e prazos estabelecidos na Portaria RFB nº 309, de 31/03/2023 e alterações posteriores, em especial, no que se refere à tempestividade da juntada do vídeo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11 de Setembro de 2026, ÀS 09:00 HORAS</w:t>
      </w:r>
    </w:p>
    <w:p>
      <w:r>
        <w:t>Relator(a): MARIA APARECIDA MARTINS DE PAULA</w:t>
      </w:r>
    </w:p>
    <w:p>
      <w:r>
        <w:t>1 - Processo nº: 10980.726910/2019-00 - Recorrente: HELIO GOMES RAUPP e Interessado: FAZENDA NACIONAL</w:t>
      </w:r>
    </w:p>
    <w:p>
      <w:r>
        <w:t>2 - Processo nº: 15586.720296/2019-31 - Recorrente: PABLO DO NASCIMENTO TESSAROLO e Interessado: FAZENDA NACIONAL</w:t>
      </w:r>
    </w:p>
    <w:p>
      <w:r>
        <w:t>Relator(a): JOSE ROBERTO MAZARIN</w:t>
      </w:r>
    </w:p>
    <w:p>
      <w:r>
        <w:t>3 - Processo nº: 10725.721314/2020-80 - Recorrente: JONNY JEFFERSON FUENTES OLIVARES e Interessado: FAZENDA NACIONAL</w:t>
      </w:r>
    </w:p>
    <w:p>
      <w:r>
        <w:t>4 - Processo nº: 10783.724280/2020-91 - Recorrente: EDUARDO HENRIQUE DE OLIVEIRA MARQUES e Interessado: FAZENDA NACIONAL</w:t>
      </w:r>
    </w:p>
    <w:p>
      <w:r>
        <w:t>5 - Processo nº: 13866.720069/2020-77 - Recorrente: ELIEZER GONCALVES MOTA e Interessado: FAZENDA NACIONAL</w:t>
      </w:r>
    </w:p>
    <w:p>
      <w:r>
        <w:t>DIA 11 de Setembro de 2026, ÀS 14:00 HORAS</w:t>
      </w:r>
    </w:p>
    <w:p>
      <w:r>
        <w:t>Relator(a): JOSE ROBERTO MAZARIN</w:t>
      </w:r>
    </w:p>
    <w:p>
      <w:r>
        <w:t>6 - Processo nº: 10166.725350/2020-03 - Recorrente: VILSON CARLOS PASTRO e Interessado: FAZENDA NACIONAL</w:t>
      </w:r>
    </w:p>
    <w:p>
      <w:r>
        <w:t>7 - Processo nº: 10730.725588/2019-35 - Recorrente: MARIA HELENA TEIXEIRA SILVA e Interessado: FAZENDA NACIONAL</w:t>
      </w:r>
    </w:p>
    <w:p>
      <w:r>
        <w:t>8 - Processo nº: 11000.721601/2021-17 - Recorrente: MURIEL GUSTAVO BECKER e Interessado: FAZENDA NACIONAL</w:t>
      </w:r>
    </w:p>
    <w:p>
      <w:r>
        <w:t>9 - Processo nº: 13309.720052/2020-35 - Recorrente: MARCO AURELIO MELO e Interessado: FAZENDA NACIONAL</w:t>
      </w:r>
    </w:p>
    <w:p>
      <w:r>
        <w:t>10 - Processo nº: 13370.720894/2020-43 - Recorrente: PEDRO TONON GEROMEL e Interessado: FAZENDA NACIONAL</w:t>
      </w:r>
    </w:p>
    <w:p>
      <w:r>
        <w:t>Jose Roberto Mazarin</w:t>
      </w:r>
    </w:p>
    <w:p>
      <w:r>
        <w:t>Presidente da Turma</w:t>
      </w:r>
    </w:p>
    <w:p>
      <w:pPr>
        <w:pStyle w:val="Heading2"/>
      </w:pPr>
      <w:r>
        <w:t>PAUTA DE JULGAMENTO</w:t>
      </w:r>
    </w:p>
    <w:p>
      <w:r>
        <w:t>Categoria: Ministério da Fazenda/Secretaria Especial da Receita Federal do Brasil/Secretaria-Adjunta/Subsecretaria de Tributação e Contencioso/Delegacia de Julgamento da Receita Federal do Brasil 05/Primeira Turma</w:t>
      </w:r>
    </w:p>
    <w:p>
      <w:r>
        <w:t>Página: 21</w:t>
      </w:r>
    </w:p>
    <w:p/>
    <w:p>
      <w:r>
        <w:t>PAUTA DE JULGAMENTO</w:t>
      </w:r>
    </w:p>
    <w:p>
      <w:r>
        <w:t>Período da Reunião de 10/09/2026 a 10/09/2026</w:t>
      </w:r>
    </w:p>
    <w:p>
      <w:r>
        <w:t>Pauta de julgamento das impugnações/manifestações de inconformidade das sessões ordinárias da 1ª Turma da DRJ05 a serem realizadas nas datas a seguir mencionadas.</w:t>
      </w:r>
    </w:p>
    <w:p>
      <w:r>
        <w:t>OBSERVAÇÕES:</w:t>
      </w:r>
    </w:p>
    <w:p>
      <w:r>
        <w:t>1) Após a publicação da pauta de julgamento no DOU, o interessado poderá encaminhar vídeo ou áudio com a sustentação oral, ou arquivo de texto contendo memorial, no prazo de até cinco dias corridos contados da data da publicação.</w:t>
      </w:r>
    </w:p>
    <w:p>
      <w:r>
        <w:t>2) A apresentação da sustentação oral deverá ser realizada por meio de gravação de vídeo ou áudio enviado através da funcionalidade Participar de Reunião de Julgamento, em Processos Digitais, no e-CAC da Receita Federal.</w:t>
      </w:r>
    </w:p>
    <w:p>
      <w:r>
        <w:t>3) Caso o patrono não tenha procuração / substabelecimento para realizar sustentação oral, favor juntá-lo aos autos.</w:t>
      </w:r>
    </w:p>
    <w:p>
      <w:r>
        <w:t>4) A aceitação da sustentação oral pleiteada está condicionada ao cumprimento dos requisitos e prazos estabelecidos na Portaria RFB nº 309, de 03/04/2023 e alterações posteriores, em especial, no que se refere à tempestividade da juntada do vídeo ou áudio da sustentação oral no sistema.</w:t>
      </w:r>
    </w:p>
    <w:p>
      <w:r>
        <w:t>5) Não serão admitidos envios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10 de Setembro de 2026, ÀS 08:00 HORAS</w:t>
      </w:r>
    </w:p>
    <w:p>
      <w:r>
        <w:t>Relator(a): LEONARDO DE PAULA LIEBSCHER</w:t>
      </w:r>
    </w:p>
    <w:p>
      <w:r>
        <w:t>1 - Processo nº: 10600.726483/2024-46 - Recorrente: MUNICIPIO DE SIMONESIA e Interessado: FAZENDA NACIONAL</w:t>
      </w:r>
    </w:p>
    <w:p>
      <w:r>
        <w:t>2 - Processo nº: 10600.727321/2024-25 - Recorrente: MUNICIPIO DE SIMONESIA e Interessado: FAZENDA NACIONAL</w:t>
      </w:r>
    </w:p>
    <w:p>
      <w:r>
        <w:t>3 - Processo nº: 10600.727966/2024-68 - Recorrente: MUNICIPIO DE SIMONESIA e Interessado: FAZENDA NACIONAL</w:t>
      </w:r>
    </w:p>
    <w:p>
      <w:r>
        <w:t>4 - Processo nº: 10600.728769/2024-66 - Recorrente: MUNICIPIO DE SIMONESIA e Interessado: FAZENDA NACIONAL</w:t>
      </w:r>
    </w:p>
    <w:p>
      <w:r>
        <w:t>5 - Processo nº: 10600.729466/2024-61 - Recorrente: MUNICIPIO DE SIMONESIA e Interessado: FAZENDA NACIONAL</w:t>
      </w:r>
    </w:p>
    <w:p>
      <w:r>
        <w:t>6 - Processo nº: 10872.720091/2018-25 - Recorrente: ARAUJO ABREU ENGENHARIA S/A e Interessado: FAZENDA NACIONAL</w:t>
      </w:r>
    </w:p>
    <w:p>
      <w:r>
        <w:t>7 - Processo nº: 10872.720094/2019-40 - Recorrente: ARAUJO ABREU ENGENHARIA S/A e Interessado: FAZENDA NACIONAL</w:t>
      </w:r>
    </w:p>
    <w:p>
      <w:r>
        <w:t>8 - Processo nº: 12154.734174/2025-61 - Recorrente: MUNICIPIO DE SIMONESIA e Interessado: FAZENDA NACIONAL</w:t>
      </w:r>
    </w:p>
    <w:p>
      <w:r>
        <w:t>DIA 10 de Setembro de 2026, ÀS 14:00 HORAS</w:t>
      </w:r>
    </w:p>
    <w:p>
      <w:r>
        <w:t>Relator(a): MARCELO CARVALHO SANTOS FILHO</w:t>
      </w:r>
    </w:p>
    <w:p>
      <w:r>
        <w:t>9 - Processo nº: 11030.734912/2019-66 - Recorrente: METASA SA INDUSTRIA METALURGICA e Interessado: FAZENDA NACIONAL</w:t>
      </w:r>
    </w:p>
    <w:p>
      <w:r>
        <w:t>Relator(a): RAFAEL TEIXEIRA BOUZON</w:t>
      </w:r>
    </w:p>
    <w:p>
      <w:r>
        <w:t>10 - Processo nº: 11234.720141/2025-81 - Recorrente: MUNICIPIO DE PORTO e Interessado: FAZENDA NACIONAL</w:t>
      </w:r>
    </w:p>
    <w:p>
      <w:r>
        <w:t>Relator(a): FABIO MENEZES SOUZA E SILVA</w:t>
      </w:r>
    </w:p>
    <w:p>
      <w:r>
        <w:t>11 - Processo nº: 13136.720297/2025-04 - Recorrente: CIA AGROPECUARIA MONTE ALEGRE e Interessado: FAZENDA NACIONAL</w:t>
      </w:r>
    </w:p>
    <w:p>
      <w:r>
        <w:t>Relator(a): MARCELO CARVALHO SANTOS FILHO</w:t>
      </w:r>
    </w:p>
    <w:p>
      <w:r>
        <w:t>12 - Processo nº: 15746.722114/2024-43 - Recorrente: EMBRAER S.A. e Interessado: FAZENDA NACIONAL</w:t>
      </w:r>
    </w:p>
    <w:p>
      <w:r>
        <w:t>Relator(a): FLAVIANO NICODEMOS DE ANDRADE LIMA</w:t>
      </w:r>
    </w:p>
    <w:p>
      <w:r>
        <w:t>13 - Processo nº: 17227.739918/2024-76 - Recorrente: LGM APOIO ADMINISTRATIVO LTDA e Interessado: FAZENDA NACIONAL</w:t>
      </w:r>
    </w:p>
    <w:p>
      <w:r>
        <w:t>FLAVIANO NICODEMOS DE ANDRADE LIMA</w:t>
      </w:r>
    </w:p>
    <w:p>
      <w:r>
        <w:t>Presidente da Turma</w:t>
      </w:r>
    </w:p>
    <w:p>
      <w:pPr>
        <w:pStyle w:val="Heading2"/>
      </w:pPr>
      <w:r>
        <w:t>RESOLUÇÃO CMN Nº 5.336, DE 27 DE AGOSTO DE 2026</w:t>
      </w:r>
    </w:p>
    <w:p>
      <w:pPr>
        <w:pStyle w:val="ListBullet"/>
      </w:pPr>
      <w:r>
        <w:t>Ementa: Altera a Resolução CMN nº 5.292, de 16 de abril de 2026, que estabelece as condições, os encargos financeiros, os prazos e as demais normas regulamentadoras das linhas de financiamento de que trata a Medida Provisória nº 1.345, de 24 de março de 2026, convertida na Lei nº 15.473, de 22 de julho de 2026.</w:t>
      </w:r>
    </w:p>
    <w:p>
      <w:r>
        <w:t>Categoria: Ministério da Fazenda/Conselho Monetário Nacional</w:t>
      </w:r>
    </w:p>
    <w:p>
      <w:r>
        <w:t>Página: 17</w:t>
      </w:r>
    </w:p>
    <w:p/>
    <w:p>
      <w:r>
        <w:t>RESOLUÇÃO CMN Nº 5.336, DE 27 DE AGOSTO DE 2026</w:t>
      </w:r>
    </w:p>
    <w:p>
      <w:r>
        <w:t>Altera a Resolução CMN nº 5.292, de 16 de abril de 2026, que estabelece as condições, os encargos financeiros, os prazos e as demais normas regulamentadoras das linhas de financiamento de que trata a Medida Provisória nº 1.345, de 24 de março de 2026, convertida na Lei nº 15.473, de 22 de julho de 2026.</w:t>
      </w:r>
    </w:p>
    <w:p>
      <w:r>
        <w:t>O Banco Central do Brasil, na forma do art. 9º da Lei nº 4.595, de 31 de dezembro de 1964, torna público que o Conselho Monetário Nacional, em sessão extraordinária realizada em 27 de agosto de 2026, tendo em vista as disposições do art. 4º, caput, inciso VI, da Lei nº 4.595, de 31 de dezembro de 1964, e do art. 3º, § 5º, da Lei nº 15.473, de 22 de julho de 2026, resolveu:</w:t>
      </w:r>
    </w:p>
    <w:p>
      <w:r>
        <w:t>Art. 1º A ementa da Resolução CMN nº 5.292, de 16 de abril de 2026, publicada no Diário Oficial da União de 17 de abril de 2026, passa a vigorar com as seguintes alterações:</w:t>
      </w:r>
    </w:p>
    <w:p>
      <w:r>
        <w:t>"Estabelece as condições, os encargos financeiros, os prazos e as demais normas regulamentadoras das linhas de financiamento de que trata a Lei nº 15.473, de 22 de julho de 2026." (NR)</w:t>
      </w:r>
    </w:p>
    <w:p>
      <w:r>
        <w:t>Art. 2º A Resolução CMN nº 5.292, de 16 de abril de 2026, publicada no Diário Oficial da União de 17 de abril de 2026, passa a vigorar com as seguintes alterações:</w:t>
      </w:r>
    </w:p>
    <w:p>
      <w:r>
        <w:t>"Art. 1º As linhas de financiamento com a finalidade de apoiar as pessoas jurídicas autorizadas pela Lei nº 15.473, de 22 de julho de 2026, utilizando fontes de recursos definidas no art. 3º da referida Lei, serão concedidas pelo Banco Nacional de Desenvolvimento Econômico e Social - BNDES ou por instituições financeiras por ele habilitadas, que assumirão os riscos das operações, incluído o risco de crédito, consistindo em financiamento a:</w:t>
      </w:r>
    </w:p>
    <w:p>
      <w:r>
        <w:t>...................................................................................................</w:t>
      </w:r>
    </w:p>
    <w:p>
      <w:r>
        <w:t>Parágrafo único. As condições financeiras estabelecidas nesta Resolução aplicam-se inclusive quando os recursos a que se refere o art. 3º da Lei nº 15.473, de 22 de julho de 2026, para a disponibilização das linhas de financiamento de que trata esta Resolução forem combinados com recursos do BNDES para a concessão das referidas linhas de financiamento, observado o disposto no art. 3º, caput, inciso IV." (NR)</w:t>
      </w:r>
    </w:p>
    <w:p>
      <w:r>
        <w:t>"Art. 2º De acordo com ato conjunto do Ministro de Estado do Desenvolvimento, Indústria, Comércio e Serviços e do Ministro de Estado da Fazenda acerca dos critérios de elegibilidade para os destinatários das medidas de apoio previstas na Lei nº 15.473, de 22 de julho de 2026, terão acesso às linhas de financiamento a que se refere o art. 1º desta Resolução as pessoas jurídicas elencadas no art. 2º, caput, incisos I a III, da Portaria Interministerial MDIC/MF nº 171, de 13 de abril de 2026.</w:t>
      </w:r>
    </w:p>
    <w:p>
      <w:r>
        <w:t>...................................................................................................</w:t>
      </w:r>
    </w:p>
    <w:p>
      <w:r>
        <w:t>§ 3º As pessoas jurídicas de que trata o art. 2º, caput, inciso II, da Portaria Interministerial MDIC/MF nº 171, de 13 de abril de 2026, poderão acessar financiamentos destinados às finalidades de que trata o art. 1º, caput, incisos I a V, desta Resolução, caso atuem na fabricação de adubos e fertilizantes, na fabricação de intermediários para fertilizantes ou na extração de minerais para fabricação de adubos, fertilizantes e outros produtos químicos, conforme respectivos códigos da Classificação Nacional de Atividades Econômicas - CNAE 20.13-4, 20.12-6 e 08.91-6, constantes no Anexo I da referida Portaria." (NR)</w:t>
      </w:r>
    </w:p>
    <w:p>
      <w:r>
        <w:t>"Art. 3º .....................................................................................</w:t>
      </w:r>
    </w:p>
    <w:p>
      <w:r>
        <w:t>...................................................................................................</w:t>
      </w:r>
    </w:p>
    <w:p>
      <w:r>
        <w:t>II - ..............................................................................................</w:t>
      </w:r>
    </w:p>
    <w:p>
      <w:r>
        <w:t>a) a título de remuneração da fonte de recursos de que trata o art. 3º da Lei nº 15.473, de 22 de julho de 2026:</w:t>
      </w:r>
    </w:p>
    <w:p>
      <w:r>
        <w:t>...................................................................................................</w:t>
      </w:r>
    </w:p>
    <w:p>
      <w:r>
        <w:t>6. para as finalidades de que trata o art. 1º, caput, incisos IV e V: 3% a.a. (três por cento ao ano), caso o mutuário de que trata o art. 2º, caput, inciso II, da Portaria Interministerial MDIC/MF nº 171, de 13 de abril de 2026, seja atuante em atividades industriais e tecnológicas na cadeia de minerais críticos e estratégicos, conforme códigos CNAE constantes no Anexo I da referida Portaria; e</w:t>
      </w:r>
    </w:p>
    <w:p>
      <w:r>
        <w:t>...................................................................................................</w:t>
      </w:r>
    </w:p>
    <w:p>
      <w:r>
        <w:t>IV - .............................................................................................</w:t>
      </w:r>
    </w:p>
    <w:p>
      <w:r>
        <w:t>a) ...............................................................................................</w:t>
      </w:r>
    </w:p>
    <w:p>
      <w:r>
        <w:t>1. 50% (cinquenta por cento) provenientes dos recursos de que trata o art. 3º da Lei nº 15.473, de 22 de julho de 2026; e</w:t>
      </w:r>
    </w:p>
    <w:p>
      <w:r>
        <w:t>...................................................................................................</w:t>
      </w:r>
    </w:p>
    <w:p>
      <w:r>
        <w:t>b) para a finalidade de que trata o art. 1º, caput, incisos IV e V: 100% (cem por cento) provenientes dos recursos de que trata o art. 3º da Lei nº 15.473, de 22 de julho de 2026; e</w:t>
      </w:r>
    </w:p>
    <w:p>
      <w:r>
        <w:t>V - risco da operação: do BNDES, quando operar diretamente, ou da instituição financeira por ele habilitada nas operações indiretas, permanecendo o BNDES, em ambos os casos, responsável, perante a fonte de recursos de que trata o art. 3º da Lei nº 15.473, de 22 de julho de 2026, pelo pagamento de principal e da remuneração de que trata o inciso II, alínea "a".</w:t>
      </w:r>
    </w:p>
    <w:p>
      <w:r>
        <w:t>.........................................................................................." (NR)</w:t>
      </w:r>
    </w:p>
    <w:p>
      <w:r>
        <w:t>"Art. 4º As condições previstas nesta Resolução aplicam-se aos pedidos de financiamento protocolados no BNDES até 31 de dezembro de 2027." (NR)</w:t>
      </w:r>
    </w:p>
    <w:p>
      <w:r>
        <w:t>Art. 3º Esta Resolução entra em vigor na data de sua publicação.</w:t>
      </w:r>
    </w:p>
    <w:p>
      <w:r>
        <w:t>GABRIEL MURICCA GALÍPOLO</w:t>
      </w:r>
    </w:p>
    <w:p>
      <w:r>
        <w:t>Presidente do Banco</w:t>
      </w:r>
    </w:p>
    <w:p>
      <w:pPr>
        <w:pStyle w:val="Heading2"/>
      </w:pPr>
      <w:r>
        <w:t>RESOLUÇÃO CMN Nº 5.337, DE 27 DE AGOSTO DE 2026</w:t>
      </w:r>
    </w:p>
    <w:p>
      <w:pPr>
        <w:pStyle w:val="ListBullet"/>
      </w:pPr>
      <w:r>
        <w:t>Ementa: Altera a Resolução CMN nº 5.304, de 20 de maio de 2026, para ampliar o prazo de reembolso e o valor máximo dos automóveis financiáveis no âmbito das linhas de financiamento de que trata o art. 2º da Medida Provisória nº 1.359, de 19 de maio de 2026.</w:t>
      </w:r>
    </w:p>
    <w:p>
      <w:r>
        <w:t>Categoria: Ministério da Fazenda/Conselho Monetário Nacional</w:t>
      </w:r>
    </w:p>
    <w:p>
      <w:r>
        <w:t>Página: 17</w:t>
      </w:r>
    </w:p>
    <w:p/>
    <w:p>
      <w:r>
        <w:t>RESOLUÇÃO CMN Nº 5.337, DE 27 DE AGOSTO DE 2026</w:t>
      </w:r>
    </w:p>
    <w:p>
      <w:r>
        <w:t>Altera a Resolução CMN nº 5.304, de 20 de maio de 2026, para ampliar o prazo de reembolso e o valor máximo dos automóveis financiáveis no âmbito das linhas de financiamento de que trata o art. 2º da Medida Provisória nº 1.359, de 19 de maio de 2026.</w:t>
      </w:r>
    </w:p>
    <w:p>
      <w:r>
        <w:t>O Banco Central do Brasil, na forma do art. 9º da Lei nº 4.595, de 31 de dezembro de 1964, torna público que o Conselho Monetário Nacional, em sessão extraordinária realizada em 27 de agosto de 2026, com base no art. 4º, caput, inciso VI, da referida Lei, e no art. 2º, § 9º, da Medida Provisória nº 1.359, de 19 de maio de 2026, e tendo em vista o disposto na Portaria Interministerial MDIC/MF nº 188, de 18 de agosto de 2026, resolveu:</w:t>
      </w:r>
    </w:p>
    <w:p>
      <w:r>
        <w:t>Art. 1º A Resolução CMN nº 5.304, de 20 de maio de 2026, publicada no Diário Oficial da União de 21 de maio de 2026, passa a vigorar com as seguintes alterações:</w:t>
      </w:r>
    </w:p>
    <w:p>
      <w:r>
        <w:t>"Art. 5º .....................................................................................</w:t>
      </w:r>
    </w:p>
    <w:p>
      <w:r>
        <w:t>I - prazo de reembolso de até oitenta e quatro meses, incluídos até seis meses de carência de principal;</w:t>
      </w:r>
    </w:p>
    <w:p>
      <w:r>
        <w:t>II - valor máximo do automóvel financiado: até R$200.000,00 (duzentos mil reais); e</w:t>
      </w:r>
    </w:p>
    <w:p>
      <w:r>
        <w:t>.........................................................................................." (NR)</w:t>
      </w:r>
    </w:p>
    <w:p>
      <w:r>
        <w:t>Art. 2º Esta Resolução entra em vigor na data de sua publicação.</w:t>
      </w:r>
    </w:p>
    <w:p>
      <w:r>
        <w:t>GABRIEL MURICCA GALÍPOLO</w:t>
      </w:r>
    </w:p>
    <w:p>
      <w:r>
        <w:t>Presidente do Banco</w:t>
      </w:r>
    </w:p>
    <w:p>
      <w:pPr>
        <w:pStyle w:val="Heading2"/>
      </w:pPr>
      <w:r>
        <w:t>RESOLUÇÃO CMN Nº 5.338, DE 27 DE AGOSTO DE 2026</w:t>
      </w:r>
    </w:p>
    <w:p>
      <w:pPr>
        <w:pStyle w:val="ListBullet"/>
      </w:pPr>
      <w:r>
        <w:t>Ementa: Altera a Resolução CMN nº 5.130, de 25 de abril de 2024, que dispõe sobre os financiamentos ao amparo da Linha de Mobilização de Capital Privado Externo e Proteção Cambial - Linha Eco Invest Brasil -, no âmbito do Fundo Nacional sobre Mudança do Clima - FNMC.</w:t>
      </w:r>
    </w:p>
    <w:p>
      <w:r>
        <w:t>Categoria: Ministério da Fazenda/Conselho Monetário Nacional</w:t>
      </w:r>
    </w:p>
    <w:p>
      <w:r>
        <w:t>Página: 17</w:t>
      </w:r>
    </w:p>
    <w:p/>
    <w:p>
      <w:r>
        <w:t>RESOLUÇÃO CMN Nº 5.338, DE 27 DE AGOSTO DE 2026</w:t>
      </w:r>
    </w:p>
    <w:p>
      <w:r>
        <w:t>Altera a Resolução CMN nº 5.130, de 25 de abril de 2024, que dispõe sobre os financiamentos ao amparo da Linha de Mobilização de Capital Privado Externo e Proteção Cambial - Linha Eco Invest Brasil -, no âmbito do Fundo Nacional sobre Mudança do Clima - FNMC.</w:t>
      </w:r>
    </w:p>
    <w:p>
      <w:r>
        <w:t>O Banco Central do Brasil, na forma do art. 9º da Lei nº 4.595, de 31 de dezembro de 1964, torna público que o Conselho Monetário Nacional, em sessão extraordinária realizada em 27 de agosto de 2026, com base no disposto nos arts. 33, § 1º, 34 e 40, todos da Lei nº 14.995, de 10 de outubro de 2024, resolveu:</w:t>
      </w:r>
    </w:p>
    <w:p>
      <w:r>
        <w:t>Art. 1º A Resolução CMN nº 5.130, de 25 de abril de 2024, publicada no Diário Oficial da União de 26 de abril de 2024, passa a vigorar com as seguintes alterações:</w:t>
      </w:r>
    </w:p>
    <w:p>
      <w:r>
        <w:t>"Art. 3º .....................................................................................</w:t>
      </w:r>
    </w:p>
    <w:p>
      <w:r>
        <w:t>I - no ato do leilão a que se refere o art. 2º, § 1º, as instituições financeiras deverão apresentar cronograma para a efetiva mobilização do capital externo ao projeto, observado o prazo máximo de vinte e quatro meses da data do recebimento do primeiro desembolso;</w:t>
      </w:r>
    </w:p>
    <w:p>
      <w:r>
        <w:t>...................................................................................................</w:t>
      </w:r>
    </w:p>
    <w:p>
      <w:r>
        <w:t>§ 12. ..........................................................................................</w:t>
      </w:r>
    </w:p>
    <w:p>
      <w:r>
        <w:t>...................................................................................................</w:t>
      </w:r>
    </w:p>
    <w:p>
      <w:r>
        <w:t>III - a remuneração da instituição financeira pela disponibilização dos recursos da Linha Eco Invest Brasil aos Fundos de Inovação Eco Invest Brasil ficará limitada a 3% a.a. (três por cento ao ano);</w:t>
      </w:r>
    </w:p>
    <w:p>
      <w:r>
        <w:t>...................................................................................................</w:t>
      </w:r>
    </w:p>
    <w:p>
      <w:r>
        <w:t>V - a remuneração máxima auferida pela instituição financeira nas operações realizadas com recursos da Linha Eco Invest Brasil destinadas aos Fundos de Inovação Eco Invest Brasil corresponderá à conversão em fatores dos encargos previstos nos incisos III e IV, limitada a 4% a.a. (quatro por cento ao ano);</w:t>
      </w:r>
    </w:p>
    <w:p>
      <w:r>
        <w:t>.......................................................................................... (NR)"</w:t>
      </w:r>
    </w:p>
    <w:p>
      <w:r>
        <w:t>Art. 2º Esta Resolução entra em vigor na data de sua publicação.</w:t>
      </w:r>
    </w:p>
    <w:p>
      <w:r>
        <w:t>GABRIEL MURICCA GALÍPOLO</w:t>
      </w:r>
    </w:p>
    <w:p>
      <w:r>
        <w:t>Presidente do Banco</w:t>
      </w:r>
    </w:p>
    <w:p>
      <w:pPr>
        <w:pStyle w:val="Heading2"/>
      </w:pPr>
      <w:r>
        <w:t>RESOLUÇÃO CMN Nº 5.339, DE 27 DE AGOSTO DE 2026</w:t>
      </w:r>
    </w:p>
    <w:p>
      <w:pPr>
        <w:pStyle w:val="ListBullet"/>
      </w:pPr>
      <w:r>
        <w:t>Ementa: Altera o anexo à Resolução CMN nº 4.995, de 24 de março de 2022.</w:t>
      </w:r>
    </w:p>
    <w:p>
      <w:r>
        <w:t>Categoria: Ministério da Fazenda/Conselho Monetário Nacional</w:t>
      </w:r>
    </w:p>
    <w:p>
      <w:r>
        <w:t>Página: 17</w:t>
      </w:r>
    </w:p>
    <w:p/>
    <w:p>
      <w:r>
        <w:t>RESOLUÇÃO CMN Nº 5.339, DE 27 DE AGOSTO DE 2026</w:t>
      </w:r>
    </w:p>
    <w:p>
      <w:r>
        <w:t>Altera o anexo à Resolução CMN nº 4.995, de 24 de março de 2022.</w:t>
      </w:r>
    </w:p>
    <w:p>
      <w:r>
        <w:t>O Banco Central do Brasil, na forma do art. 9º da Lei nº 4.595, de 31 de dezembro de 1964, torna público que o Conselho Monetário Nacional, em sessão extraordinária realizada em 27 de agosto de 2026, tendo em vista as disposições do art. 4º, caput, incisos VI, VIII e X, da mencionada Lei, resolveu:</w:t>
      </w:r>
    </w:p>
    <w:p>
      <w:r>
        <w:t>Art. 1º O anexo à Resolução CMN nº 4.995, de 24 de março de 2022, publicada no Diário Oficial da União de 28 de março de 2022, passa a vigorar com as alterações constantes no anexo a esta Resolução.</w:t>
      </w:r>
    </w:p>
    <w:p>
      <w:r>
        <w:t>Art. 2º Esta Resolução entra em vigor na data de sua publicação.</w:t>
      </w:r>
    </w:p>
    <w:p>
      <w:r>
        <w:t>GABRIEL MURICCA GALÍPOLO</w:t>
      </w:r>
    </w:p>
    <w:p>
      <w:r>
        <w:t>Presidente do Banco</w:t>
      </w:r>
    </w:p>
    <w:p>
      <w:r>
        <w:t>ANEXO(Anexo à Resolução CMN nº 4.995, de 24 de março de 2022)</w:t>
      </w:r>
    </w:p>
    <w:p>
      <w:r>
        <w:t>Limite anual para contratação de operações de crédito para os órgãos e entidades do setor público a ser observado pelas instituições financeiras e demais instituições autorizadas a funcionar pelo Banco Central do Brasil.</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Ano</w:t>
            </w:r>
          </w:p>
        </w:tc>
        <w:tc>
          <w:tcPr>
            <w:tcW w:type="dxa" w:w="2160"/>
          </w:tcPr>
          <w:p>
            <w:r>
              <w:t>Operações com garantia da União</w:t>
            </w:r>
          </w:p>
        </w:tc>
        <w:tc>
          <w:tcPr>
            <w:tcW w:type="dxa" w:w="2160"/>
          </w:tcPr>
          <w:p>
            <w:r>
              <w:t>Operações sem garantia da União</w:t>
            </w:r>
          </w:p>
        </w:tc>
        <w:tc>
          <w:tcPr>
            <w:tcW w:type="dxa" w:w="2160"/>
          </w:tcPr>
          <w:p>
            <w:r>
              <w:t>Total</w:t>
            </w:r>
          </w:p>
        </w:tc>
      </w:tr>
      <w:tr>
        <w:tc>
          <w:tcPr>
            <w:tcW w:type="dxa" w:w="2160"/>
          </w:tcPr>
          <w:p>
            <w:r>
              <w:t>2018</w:t>
            </w:r>
          </w:p>
        </w:tc>
        <w:tc>
          <w:tcPr>
            <w:tcW w:type="dxa" w:w="2160"/>
          </w:tcPr>
          <w:p>
            <w:r>
              <w:t>Até R$13.000.000.000,00</w:t>
            </w:r>
          </w:p>
        </w:tc>
        <w:tc>
          <w:tcPr>
            <w:tcW w:type="dxa" w:w="2160"/>
          </w:tcPr>
          <w:p>
            <w:r>
              <w:t>Até R$11.000.000.000,00</w:t>
            </w:r>
          </w:p>
        </w:tc>
        <w:tc>
          <w:tcPr>
            <w:tcW w:type="dxa" w:w="2160"/>
          </w:tcPr>
          <w:p>
            <w:r>
              <w:t>Até R$24.000.000.000,00</w:t>
            </w:r>
          </w:p>
        </w:tc>
      </w:tr>
      <w:tr>
        <w:tc>
          <w:tcPr>
            <w:tcW w:type="dxa" w:w="2160"/>
          </w:tcPr>
          <w:p>
            <w:r>
              <w:t>2019</w:t>
            </w:r>
          </w:p>
        </w:tc>
        <w:tc>
          <w:tcPr>
            <w:tcW w:type="dxa" w:w="2160"/>
          </w:tcPr>
          <w:p>
            <w:r>
              <w:t>Até R$13.500.000.000,00</w:t>
            </w:r>
          </w:p>
        </w:tc>
        <w:tc>
          <w:tcPr>
            <w:tcW w:type="dxa" w:w="2160"/>
          </w:tcPr>
          <w:p>
            <w:r>
              <w:t>Até R$11.000.000.000,00</w:t>
            </w:r>
          </w:p>
        </w:tc>
        <w:tc>
          <w:tcPr>
            <w:tcW w:type="dxa" w:w="2160"/>
          </w:tcPr>
          <w:p>
            <w:r>
              <w:t>Até R$24.500.000.000,00</w:t>
            </w:r>
          </w:p>
        </w:tc>
      </w:tr>
      <w:tr>
        <w:tc>
          <w:tcPr>
            <w:tcW w:type="dxa" w:w="2160"/>
          </w:tcPr>
          <w:p>
            <w:r>
              <w:t>2020</w:t>
            </w:r>
          </w:p>
        </w:tc>
        <w:tc>
          <w:tcPr>
            <w:tcW w:type="dxa" w:w="2160"/>
          </w:tcPr>
          <w:p>
            <w:r>
              <w:t>Até R$9.000.000.000,00</w:t>
            </w:r>
          </w:p>
        </w:tc>
        <w:tc>
          <w:tcPr>
            <w:tcW w:type="dxa" w:w="2160"/>
          </w:tcPr>
          <w:p>
            <w:r>
              <w:t>Para órgãos e entidades dos estados, do Distrito Federal e dos municípios Até R$11.000.000.000,00</w:t>
            </w:r>
          </w:p>
        </w:tc>
        <w:tc>
          <w:tcPr>
            <w:tcW w:type="dxa" w:w="2160"/>
          </w:tcPr>
          <w:p>
            <w:r>
              <w:t>Até R$20.400.000.000,00</w:t>
            </w:r>
          </w:p>
        </w:tc>
      </w:tr>
      <w:tr>
        <w:tc>
          <w:tcPr>
            <w:tcW w:type="dxa" w:w="2160"/>
          </w:tcPr>
          <w:p>
            <w:r/>
          </w:p>
        </w:tc>
        <w:tc>
          <w:tcPr>
            <w:tcW w:type="dxa" w:w="2160"/>
          </w:tcPr>
          <w:p>
            <w:r/>
          </w:p>
        </w:tc>
        <w:tc>
          <w:tcPr>
            <w:tcW w:type="dxa" w:w="2160"/>
          </w:tcPr>
          <w:p>
            <w:r>
              <w:t>Para órgãos e entidades da União Até R$400.000.000,00</w:t>
            </w:r>
          </w:p>
        </w:tc>
        <w:tc>
          <w:tcPr>
            <w:tcW w:type="dxa" w:w="2160"/>
          </w:tcPr>
          <w:p>
            <w:r/>
          </w:p>
        </w:tc>
      </w:tr>
      <w:tr>
        <w:tc>
          <w:tcPr>
            <w:tcW w:type="dxa" w:w="2160"/>
          </w:tcPr>
          <w:p>
            <w:r>
              <w:t>2021</w:t>
            </w:r>
          </w:p>
        </w:tc>
        <w:tc>
          <w:tcPr>
            <w:tcW w:type="dxa" w:w="2160"/>
          </w:tcPr>
          <w:p>
            <w:r>
              <w:t>Até R$6.500.000.000,00</w:t>
            </w:r>
          </w:p>
        </w:tc>
        <w:tc>
          <w:tcPr>
            <w:tcW w:type="dxa" w:w="2160"/>
          </w:tcPr>
          <w:p>
            <w:r>
              <w:t>Para órgãos e entidades dos estados, do Distrito Federal e dos municípios, excluindo as empresas estatais a que se refere o art. 10 (revogado em 1º de janeiro de 2023) Até R$10.500.000.000,00</w:t>
            </w:r>
          </w:p>
        </w:tc>
        <w:tc>
          <w:tcPr>
            <w:tcW w:type="dxa" w:w="2160"/>
          </w:tcPr>
          <w:p>
            <w:r>
              <w:t>Até R$20.500.000.000,00</w:t>
            </w:r>
          </w:p>
        </w:tc>
      </w:tr>
      <w:tr>
        <w:tc>
          <w:tcPr>
            <w:tcW w:type="dxa" w:w="2160"/>
          </w:tcPr>
          <w:p>
            <w:r/>
          </w:p>
        </w:tc>
        <w:tc>
          <w:tcPr>
            <w:tcW w:type="dxa" w:w="2160"/>
          </w:tcPr>
          <w:p>
            <w:r/>
          </w:p>
        </w:tc>
        <w:tc>
          <w:tcPr>
            <w:tcW w:type="dxa" w:w="2160"/>
          </w:tcPr>
          <w:p>
            <w:r>
              <w:t>Para as empresas estatais a que se refere o art. 10 (revogado em 1º de janeiro de 2023) Até R$3.000.000.000,00</w:t>
            </w:r>
          </w:p>
        </w:tc>
        <w:tc>
          <w:tcPr>
            <w:tcW w:type="dxa" w:w="2160"/>
          </w:tcPr>
          <w:p>
            <w:r/>
          </w:p>
        </w:tc>
      </w:tr>
      <w:tr>
        <w:tc>
          <w:tcPr>
            <w:tcW w:type="dxa" w:w="2160"/>
          </w:tcPr>
          <w:p>
            <w:r/>
          </w:p>
        </w:tc>
        <w:tc>
          <w:tcPr>
            <w:tcW w:type="dxa" w:w="2160"/>
          </w:tcPr>
          <w:p>
            <w:r/>
          </w:p>
        </w:tc>
        <w:tc>
          <w:tcPr>
            <w:tcW w:type="dxa" w:w="2160"/>
          </w:tcPr>
          <w:p>
            <w:r>
              <w:t>Para órgãos e entidades da União Até R$500.000.000,00</w:t>
            </w:r>
          </w:p>
        </w:tc>
        <w:tc>
          <w:tcPr>
            <w:tcW w:type="dxa" w:w="2160"/>
          </w:tcPr>
          <w:p>
            <w:r/>
          </w:p>
        </w:tc>
      </w:tr>
      <w:tr>
        <w:tc>
          <w:tcPr>
            <w:tcW w:type="dxa" w:w="2160"/>
          </w:tcPr>
          <w:p>
            <w:r>
              <w:t>2022</w:t>
            </w:r>
          </w:p>
        </w:tc>
        <w:tc>
          <w:tcPr>
            <w:tcW w:type="dxa" w:w="2160"/>
          </w:tcPr>
          <w:p>
            <w:r>
              <w:t>Até R$6.500.000.000,00</w:t>
            </w:r>
          </w:p>
        </w:tc>
        <w:tc>
          <w:tcPr>
            <w:tcW w:type="dxa" w:w="2160"/>
          </w:tcPr>
          <w:p>
            <w:r>
              <w:t>Para órgãos e entidades dos estados, do Distrito Federal e dos municípios, excluindo as empresas estatais a que se refere o art. 10 (revogado em 1º de janeiro de 2023) Até R$10.500.000.000,00</w:t>
            </w:r>
          </w:p>
        </w:tc>
        <w:tc>
          <w:tcPr>
            <w:tcW w:type="dxa" w:w="2160"/>
          </w:tcPr>
          <w:p>
            <w:r>
              <w:t>Até R$18.625.000.000,00</w:t>
            </w:r>
          </w:p>
        </w:tc>
      </w:tr>
      <w:tr>
        <w:tc>
          <w:tcPr>
            <w:tcW w:type="dxa" w:w="2160"/>
          </w:tcPr>
          <w:p>
            <w:r/>
          </w:p>
        </w:tc>
        <w:tc>
          <w:tcPr>
            <w:tcW w:type="dxa" w:w="2160"/>
          </w:tcPr>
          <w:p>
            <w:r/>
          </w:p>
        </w:tc>
        <w:tc>
          <w:tcPr>
            <w:tcW w:type="dxa" w:w="2160"/>
          </w:tcPr>
          <w:p>
            <w:r>
              <w:t>Para as empresas estatais a que se refere o art. 10 (revogado em 1º de janeiro de 2023) Até R$1.000.000.000,00</w:t>
            </w:r>
          </w:p>
        </w:tc>
        <w:tc>
          <w:tcPr>
            <w:tcW w:type="dxa" w:w="2160"/>
          </w:tcPr>
          <w:p>
            <w:r/>
          </w:p>
        </w:tc>
      </w:tr>
      <w:tr>
        <w:tc>
          <w:tcPr>
            <w:tcW w:type="dxa" w:w="2160"/>
          </w:tcPr>
          <w:p>
            <w:r/>
          </w:p>
        </w:tc>
        <w:tc>
          <w:tcPr>
            <w:tcW w:type="dxa" w:w="2160"/>
          </w:tcPr>
          <w:p>
            <w:r/>
          </w:p>
        </w:tc>
        <w:tc>
          <w:tcPr>
            <w:tcW w:type="dxa" w:w="2160"/>
          </w:tcPr>
          <w:p>
            <w:r>
              <w:t>Para órgãos e entidades da União Até R$625.000.000,00</w:t>
            </w:r>
          </w:p>
        </w:tc>
        <w:tc>
          <w:tcPr>
            <w:tcW w:type="dxa" w:w="2160"/>
          </w:tcPr>
          <w:p>
            <w:r/>
          </w:p>
        </w:tc>
      </w:tr>
      <w:tr>
        <w:tc>
          <w:tcPr>
            <w:tcW w:type="dxa" w:w="2160"/>
          </w:tcPr>
          <w:p>
            <w:r>
              <w:t>2023</w:t>
            </w:r>
          </w:p>
        </w:tc>
        <w:tc>
          <w:tcPr>
            <w:tcW w:type="dxa" w:w="2160"/>
          </w:tcPr>
          <w:p>
            <w:r>
              <w:t>Até R$15.000.000.000,00</w:t>
            </w:r>
          </w:p>
        </w:tc>
        <w:tc>
          <w:tcPr>
            <w:tcW w:type="dxa" w:w="2160"/>
          </w:tcPr>
          <w:p>
            <w:r>
              <w:t>Para órgãos e entidades dos estados, do Distrito Federal e dos municípios Até R$18.000.000.000,00</w:t>
            </w:r>
          </w:p>
        </w:tc>
        <w:tc>
          <w:tcPr>
            <w:tcW w:type="dxa" w:w="2160"/>
          </w:tcPr>
          <w:p>
            <w:r>
              <w:t>Até R$37.125.000.000,00</w:t>
            </w:r>
          </w:p>
        </w:tc>
      </w:tr>
      <w:tr>
        <w:tc>
          <w:tcPr>
            <w:tcW w:type="dxa" w:w="2160"/>
          </w:tcPr>
          <w:p>
            <w:r/>
          </w:p>
        </w:tc>
        <w:tc>
          <w:tcPr>
            <w:tcW w:type="dxa" w:w="2160"/>
          </w:tcPr>
          <w:p>
            <w:r/>
          </w:p>
        </w:tc>
        <w:tc>
          <w:tcPr>
            <w:tcW w:type="dxa" w:w="2160"/>
          </w:tcPr>
          <w:p>
            <w:r>
              <w:t>Para órgãos e entidades da União Até R$625.000.000,00</w:t>
            </w:r>
          </w:p>
        </w:tc>
        <w:tc>
          <w:tcPr>
            <w:tcW w:type="dxa" w:w="2160"/>
          </w:tcPr>
          <w:p>
            <w:r/>
          </w:p>
        </w:tc>
      </w:tr>
      <w:tr>
        <w:tc>
          <w:tcPr>
            <w:tcW w:type="dxa" w:w="2160"/>
          </w:tcPr>
          <w:p>
            <w:r/>
          </w:p>
        </w:tc>
        <w:tc>
          <w:tcPr>
            <w:tcW w:type="dxa" w:w="2160"/>
          </w:tcPr>
          <w:p>
            <w:r>
              <w:t>Para a Empresa Brasileira de Participações em Energia Nuclear e Binacional S/A - ENBPar, exclusivamente para a implantação da Usina Nuclear de Angra 3 Até R$2.300.000.000,00</w:t>
            </w:r>
          </w:p>
        </w:tc>
        <w:tc>
          <w:tcPr>
            <w:tcW w:type="dxa" w:w="2160"/>
          </w:tcPr>
          <w:p>
            <w:r>
              <w:t>Para a Eletrobras Termonuclear S/A - Eletronuclear, exclusivamente para a implantação da Usina Nuclear de Angra 3 Até R$1.200.000.000,00</w:t>
            </w:r>
          </w:p>
        </w:tc>
        <w:tc>
          <w:tcPr>
            <w:tcW w:type="dxa" w:w="2160"/>
          </w:tcPr>
          <w:p>
            <w:r/>
          </w:p>
        </w:tc>
      </w:tr>
      <w:tr>
        <w:tc>
          <w:tcPr>
            <w:tcW w:type="dxa" w:w="2160"/>
          </w:tcPr>
          <w:p>
            <w:r>
              <w:t>2024</w:t>
            </w:r>
          </w:p>
        </w:tc>
        <w:tc>
          <w:tcPr>
            <w:tcW w:type="dxa" w:w="2160"/>
          </w:tcPr>
          <w:p>
            <w:r>
              <w:t>Até R$17.500.000.000,00</w:t>
            </w:r>
          </w:p>
        </w:tc>
        <w:tc>
          <w:tcPr>
            <w:tcW w:type="dxa" w:w="2160"/>
          </w:tcPr>
          <w:p>
            <w:r>
              <w:t>Para órgãos e entidades dos estados, do Distrito Federal e dos municípios Até R$7.000.000.000,00</w:t>
            </w:r>
          </w:p>
        </w:tc>
        <w:tc>
          <w:tcPr>
            <w:tcW w:type="dxa" w:w="2160"/>
          </w:tcPr>
          <w:p>
            <w:r>
              <w:t>Até R$31.075.651.683,00</w:t>
            </w:r>
          </w:p>
        </w:tc>
      </w:tr>
      <w:tr>
        <w:tc>
          <w:tcPr>
            <w:tcW w:type="dxa" w:w="2160"/>
          </w:tcPr>
          <w:p>
            <w:r/>
          </w:p>
        </w:tc>
        <w:tc>
          <w:tcPr>
            <w:tcW w:type="dxa" w:w="2160"/>
          </w:tcPr>
          <w:p>
            <w:r>
              <w:t>Para operações contempladas no âmbito do Novo Programa de Aceleração do Crescimento - PAC Até R$500.000.000,00</w:t>
            </w:r>
          </w:p>
        </w:tc>
        <w:tc>
          <w:tcPr>
            <w:tcW w:type="dxa" w:w="2160"/>
          </w:tcPr>
          <w:p>
            <w:r>
              <w:t>Para operações contempladas no âmbito do Novo PAC Até R$500.000.000,00</w:t>
            </w:r>
          </w:p>
        </w:tc>
        <w:tc>
          <w:tcPr>
            <w:tcW w:type="dxa" w:w="2160"/>
          </w:tcPr>
          <w:p>
            <w:r/>
          </w:p>
        </w:tc>
      </w:tr>
      <w:tr>
        <w:tc>
          <w:tcPr>
            <w:tcW w:type="dxa" w:w="2160"/>
          </w:tcPr>
          <w:p>
            <w:r/>
          </w:p>
        </w:tc>
        <w:tc>
          <w:tcPr>
            <w:tcW w:type="dxa" w:w="2160"/>
          </w:tcPr>
          <w:p>
            <w:r>
              <w:t>Para contratações no âmbito de Parcerias Público Privadas - PPPs Até R$500.000.000,00</w:t>
            </w:r>
          </w:p>
        </w:tc>
        <w:tc>
          <w:tcPr>
            <w:tcW w:type="dxa" w:w="2160"/>
          </w:tcPr>
          <w:p>
            <w:r>
              <w:t>Para órgãos e entidades da União Até R$625.000.000,00</w:t>
            </w:r>
          </w:p>
        </w:tc>
        <w:tc>
          <w:tcPr>
            <w:tcW w:type="dxa" w:w="2160"/>
          </w:tcPr>
          <w:p>
            <w:r/>
          </w:p>
        </w:tc>
      </w:tr>
      <w:tr>
        <w:tc>
          <w:tcPr>
            <w:tcW w:type="dxa" w:w="2160"/>
          </w:tcPr>
          <w:p>
            <w:r/>
          </w:p>
        </w:tc>
        <w:tc>
          <w:tcPr>
            <w:tcW w:type="dxa" w:w="2160"/>
          </w:tcPr>
          <w:p>
            <w:r>
              <w:t>Para a Empresa Brasileira de Participações em Energia Nuclear e Binacional S/A - ENBPar Até R$1.736.839.681,00</w:t>
            </w:r>
          </w:p>
        </w:tc>
        <w:tc>
          <w:tcPr>
            <w:tcW w:type="dxa" w:w="2160"/>
          </w:tcPr>
          <w:p>
            <w:r>
              <w:t>Para a Eletrobras Termonuclear S/A - Eletronuclear Até R$2.713.812.002,00</w:t>
            </w:r>
          </w:p>
        </w:tc>
        <w:tc>
          <w:tcPr>
            <w:tcW w:type="dxa" w:w="2160"/>
          </w:tcPr>
          <w:p>
            <w:r/>
          </w:p>
        </w:tc>
      </w:tr>
      <w:tr>
        <w:tc>
          <w:tcPr>
            <w:tcW w:type="dxa" w:w="2160"/>
          </w:tcPr>
          <w:p>
            <w:r>
              <w:t>2025</w:t>
            </w:r>
          </w:p>
        </w:tc>
        <w:tc>
          <w:tcPr>
            <w:tcW w:type="dxa" w:w="2160"/>
          </w:tcPr>
          <w:p>
            <w:r>
              <w:t>Até R$12.100.000.000,00</w:t>
            </w:r>
          </w:p>
        </w:tc>
        <w:tc>
          <w:tcPr>
            <w:tcW w:type="dxa" w:w="2160"/>
          </w:tcPr>
          <w:p>
            <w:r>
              <w:t>Para órgãos e entidades dos estados, do Distrito Federal e dos municípios Até R$6.000.000.000,00</w:t>
            </w:r>
          </w:p>
        </w:tc>
        <w:tc>
          <w:tcPr>
            <w:tcW w:type="dxa" w:w="2160"/>
          </w:tcPr>
          <w:p>
            <w:r>
              <w:t>Até R$39.425.651.683,00</w:t>
            </w:r>
          </w:p>
        </w:tc>
      </w:tr>
      <w:tr>
        <w:tc>
          <w:tcPr>
            <w:tcW w:type="dxa" w:w="2160"/>
          </w:tcPr>
          <w:p>
            <w:r/>
          </w:p>
        </w:tc>
        <w:tc>
          <w:tcPr>
            <w:tcW w:type="dxa" w:w="2160"/>
          </w:tcPr>
          <w:p>
            <w:r>
              <w:t>Para a Empresa Brasileira de Correios e Telégrafos - Correios Até R$12.000.000.000,00</w:t>
            </w:r>
          </w:p>
        </w:tc>
        <w:tc>
          <w:tcPr>
            <w:tcW w:type="dxa" w:w="2160"/>
          </w:tcPr>
          <w:p>
            <w:r/>
          </w:p>
        </w:tc>
        <w:tc>
          <w:tcPr>
            <w:tcW w:type="dxa" w:w="2160"/>
          </w:tcPr>
          <w:p>
            <w:r/>
          </w:p>
        </w:tc>
      </w:tr>
      <w:tr>
        <w:tc>
          <w:tcPr>
            <w:tcW w:type="dxa" w:w="2160"/>
          </w:tcPr>
          <w:p>
            <w:r/>
          </w:p>
        </w:tc>
        <w:tc>
          <w:tcPr>
            <w:tcW w:type="dxa" w:w="2160"/>
          </w:tcPr>
          <w:p>
            <w:r>
              <w:t>Para operações contempladas no âmbito do Novo PAC Até R$2.900.000.000,00</w:t>
            </w:r>
          </w:p>
        </w:tc>
        <w:tc>
          <w:tcPr>
            <w:tcW w:type="dxa" w:w="2160"/>
          </w:tcPr>
          <w:p>
            <w:r/>
          </w:p>
        </w:tc>
        <w:tc>
          <w:tcPr>
            <w:tcW w:type="dxa" w:w="2160"/>
          </w:tcPr>
          <w:p>
            <w:r/>
          </w:p>
        </w:tc>
      </w:tr>
      <w:tr>
        <w:tc>
          <w:tcPr>
            <w:tcW w:type="dxa" w:w="2160"/>
          </w:tcPr>
          <w:p>
            <w:r/>
          </w:p>
        </w:tc>
        <w:tc>
          <w:tcPr>
            <w:tcW w:type="dxa" w:w="2160"/>
          </w:tcPr>
          <w:p>
            <w:r>
              <w:t>Para a Empresa Brasileira de Participações em Energia Nuclear e Binacional S/A - ENBPar Até R$1.736.839.681,00</w:t>
            </w:r>
          </w:p>
        </w:tc>
        <w:tc>
          <w:tcPr>
            <w:tcW w:type="dxa" w:w="2160"/>
          </w:tcPr>
          <w:p>
            <w:r>
              <w:t>Para órgãos e entidades da União Até R$2.425.000.000,00</w:t>
            </w:r>
          </w:p>
        </w:tc>
        <w:tc>
          <w:tcPr>
            <w:tcW w:type="dxa" w:w="2160"/>
          </w:tcPr>
          <w:p>
            <w:r/>
          </w:p>
        </w:tc>
      </w:tr>
      <w:tr>
        <w:tc>
          <w:tcPr>
            <w:tcW w:type="dxa" w:w="2160"/>
          </w:tcPr>
          <w:p>
            <w:r/>
          </w:p>
        </w:tc>
        <w:tc>
          <w:tcPr>
            <w:tcW w:type="dxa" w:w="2160"/>
          </w:tcPr>
          <w:p>
            <w:r/>
          </w:p>
        </w:tc>
        <w:tc>
          <w:tcPr>
            <w:tcW w:type="dxa" w:w="2160"/>
          </w:tcPr>
          <w:p>
            <w:r>
              <w:t>Para a Eletrobras Termonuclear S/A - Eletronuclear Até R$2.263.812.002,00</w:t>
            </w:r>
          </w:p>
        </w:tc>
        <w:tc>
          <w:tcPr>
            <w:tcW w:type="dxa" w:w="2160"/>
          </w:tcPr>
          <w:p>
            <w:r/>
          </w:p>
        </w:tc>
      </w:tr>
      <w:tr>
        <w:tc>
          <w:tcPr>
            <w:tcW w:type="dxa" w:w="2160"/>
          </w:tcPr>
          <w:p>
            <w:r>
              <w:t>2026</w:t>
            </w:r>
          </w:p>
        </w:tc>
        <w:tc>
          <w:tcPr>
            <w:tcW w:type="dxa" w:w="2160"/>
          </w:tcPr>
          <w:p>
            <w:r>
              <w:t>Até R$7.000.000.000,00</w:t>
            </w:r>
          </w:p>
        </w:tc>
        <w:tc>
          <w:tcPr>
            <w:tcW w:type="dxa" w:w="2160"/>
          </w:tcPr>
          <w:p>
            <w:r>
              <w:t>Para órgãos e entidades dos estados, do Distrito Federal e dos municípios Até R$6.000.000.000,00</w:t>
            </w:r>
          </w:p>
        </w:tc>
        <w:tc>
          <w:tcPr>
            <w:tcW w:type="dxa" w:w="2160"/>
          </w:tcPr>
          <w:p>
            <w:r>
              <w:t>Até R$26.625.000.000,00</w:t>
            </w:r>
          </w:p>
        </w:tc>
      </w:tr>
      <w:tr>
        <w:tc>
          <w:tcPr>
            <w:tcW w:type="dxa" w:w="2160"/>
          </w:tcPr>
          <w:p>
            <w:r/>
          </w:p>
        </w:tc>
        <w:tc>
          <w:tcPr>
            <w:tcW w:type="dxa" w:w="2160"/>
          </w:tcPr>
          <w:p>
            <w:r>
              <w:t>Para operações contempladas no âmbito do Novo PAC Até R$2.800.000.000,00</w:t>
            </w:r>
          </w:p>
        </w:tc>
        <w:tc>
          <w:tcPr>
            <w:tcW w:type="dxa" w:w="2160"/>
          </w:tcPr>
          <w:p>
            <w:r>
              <w:t>Para operações contempladas no âmbito do Novo PAC Até R$2.200.000.000,00</w:t>
            </w:r>
          </w:p>
        </w:tc>
        <w:tc>
          <w:tcPr>
            <w:tcW w:type="dxa" w:w="2160"/>
          </w:tcPr>
          <w:p>
            <w:r/>
          </w:p>
        </w:tc>
      </w:tr>
      <w:tr>
        <w:tc>
          <w:tcPr>
            <w:tcW w:type="dxa" w:w="2160"/>
          </w:tcPr>
          <w:p>
            <w:r/>
          </w:p>
        </w:tc>
        <w:tc>
          <w:tcPr>
            <w:tcW w:type="dxa" w:w="2160"/>
          </w:tcPr>
          <w:p>
            <w:r>
              <w:t>Para a Empresa Brasileira de Correios e Telégrafos - Correios Até R$8.000.000.000,00</w:t>
            </w:r>
          </w:p>
        </w:tc>
        <w:tc>
          <w:tcPr>
            <w:tcW w:type="dxa" w:w="2160"/>
          </w:tcPr>
          <w:p>
            <w:r>
              <w:t>Para órgãos e entidades da União Até R$625.000.000,00</w:t>
            </w:r>
          </w:p>
        </w:tc>
        <w:tc>
          <w:tcPr>
            <w:tcW w:type="dxa" w:w="2160"/>
          </w:tcPr>
          <w:p>
            <w:r/>
          </w:p>
        </w:tc>
      </w:tr>
    </w:tbl>
    <w:p/>
    <w:p>
      <w:r>
        <w:t>Ano</w:t>
      </w:r>
    </w:p>
    <w:p>
      <w:r>
        <w:t>Operações com garantia da União</w:t>
      </w:r>
    </w:p>
    <w:p>
      <w:r>
        <w:t>Operações sem garantia da União</w:t>
      </w:r>
    </w:p>
    <w:p>
      <w:r>
        <w:t>Total</w:t>
      </w:r>
    </w:p>
    <w:p>
      <w:r>
        <w:t>2018</w:t>
      </w:r>
    </w:p>
    <w:p>
      <w:r>
        <w:t>Até R$13.000.000.000,00</w:t>
      </w:r>
    </w:p>
    <w:p>
      <w:r>
        <w:t>Até R$11.000.000.000,00</w:t>
      </w:r>
    </w:p>
    <w:p>
      <w:r>
        <w:t>Até R$24.000.000.000,00</w:t>
      </w:r>
    </w:p>
    <w:p>
      <w:r>
        <w:t>2019</w:t>
      </w:r>
    </w:p>
    <w:p>
      <w:r>
        <w:t>Até R$13.500.000.000,00</w:t>
      </w:r>
    </w:p>
    <w:p>
      <w:r>
        <w:t>Até R$11.000.000.000,00</w:t>
      </w:r>
    </w:p>
    <w:p>
      <w:r>
        <w:t>Até R$24.500.000.000,00</w:t>
      </w:r>
    </w:p>
    <w:p>
      <w:r>
        <w:t>2020</w:t>
      </w:r>
    </w:p>
    <w:p>
      <w:r>
        <w:t>Até R$9.000.000.000,00</w:t>
      </w:r>
    </w:p>
    <w:p>
      <w:r>
        <w:t>Para órgãos e entidades dos estados, do Distrito Federal e dos municípios</w:t>
      </w:r>
    </w:p>
    <w:p>
      <w:r>
        <w:t>Até R$11.000.000.000,00</w:t>
      </w:r>
    </w:p>
    <w:p>
      <w:r>
        <w:t>Até R$20.400.000.000,00</w:t>
      </w:r>
    </w:p>
    <w:p>
      <w:r>
        <w:t>Para órgãos e entidades da União</w:t>
      </w:r>
    </w:p>
    <w:p>
      <w:r>
        <w:t>Até R$400.000.000,00</w:t>
      </w:r>
    </w:p>
    <w:p>
      <w:r>
        <w:t>2021</w:t>
      </w:r>
    </w:p>
    <w:p>
      <w:r>
        <w:t>Até R$6.500.000.000,00</w:t>
      </w:r>
    </w:p>
    <w:p>
      <w:r>
        <w:t>Para órgãos e entidades dos estados, do Distrito Federal e dos municípios, excluindo as empresas estatais a que se refere o art. 10 (revogado em 1º de janeiro de 2023)</w:t>
      </w:r>
    </w:p>
    <w:p>
      <w:r>
        <w:t>Até R$10.500.000.000,00</w:t>
      </w:r>
    </w:p>
    <w:p>
      <w:r>
        <w:t>Até R$20.500.000.000,00</w:t>
      </w:r>
    </w:p>
    <w:p>
      <w:r>
        <w:t>Para as empresas estatais a que se refere o art. 10 (revogado em 1º de janeiro de 2023)</w:t>
      </w:r>
    </w:p>
    <w:p>
      <w:r>
        <w:t>Até R$3.000.000.000,00</w:t>
      </w:r>
    </w:p>
    <w:p>
      <w:r>
        <w:t>Para órgãos e entidades da União</w:t>
      </w:r>
    </w:p>
    <w:p>
      <w:r>
        <w:t>Até R$500.000.000,00</w:t>
      </w:r>
    </w:p>
    <w:p>
      <w:r>
        <w:t>2022</w:t>
      </w:r>
    </w:p>
    <w:p>
      <w:r>
        <w:t>Até R$6.500.000.000,00</w:t>
      </w:r>
    </w:p>
    <w:p>
      <w:r>
        <w:t>Para órgãos e entidades dos estados, do Distrito Federal e dos municípios, excluindo as empresas estatais a que se refere o art. 10 (revogado em 1º de janeiro de 2023)</w:t>
      </w:r>
    </w:p>
    <w:p>
      <w:r>
        <w:t>Até R$10.500.000.000,00</w:t>
      </w:r>
    </w:p>
    <w:p>
      <w:r>
        <w:t>Até R$18.625.000.000,00</w:t>
      </w:r>
    </w:p>
    <w:p>
      <w:r>
        <w:t>Para as empresas estatais a que se refere o art. 10 (revogado em 1º de janeiro de 2023)</w:t>
      </w:r>
    </w:p>
    <w:p>
      <w:r>
        <w:t>Até R$1.000.000.000,00</w:t>
      </w:r>
    </w:p>
    <w:p>
      <w:r>
        <w:t>Para órgãos e entidades da União</w:t>
      </w:r>
    </w:p>
    <w:p>
      <w:r>
        <w:t>Até R$625.000.000,00</w:t>
      </w:r>
    </w:p>
    <w:p>
      <w:r>
        <w:t>2023</w:t>
      </w:r>
    </w:p>
    <w:p>
      <w:r>
        <w:t>Até R$15.000.000.000,00</w:t>
      </w:r>
    </w:p>
    <w:p>
      <w:r>
        <w:t>Para órgãos e entidades dos estados, do Distrito Federal e dos municípios</w:t>
      </w:r>
    </w:p>
    <w:p>
      <w:r>
        <w:t>Até R$18.000.000.000,00</w:t>
      </w:r>
    </w:p>
    <w:p>
      <w:r>
        <w:t>Até R$37.125.000.000,00</w:t>
      </w:r>
    </w:p>
    <w:p>
      <w:r>
        <w:t>Para órgãos e entidades da União</w:t>
      </w:r>
    </w:p>
    <w:p>
      <w:r>
        <w:t>Até R$625.000.000,00</w:t>
      </w:r>
    </w:p>
    <w:p>
      <w:r>
        <w:t>Para a Empresa Brasileira de Participações em Energia Nuclear e Binacional S/A - ENBPar, exclusivamente para a implantação da Usina Nuclear de Angra 3</w:t>
      </w:r>
    </w:p>
    <w:p>
      <w:r>
        <w:t>Até R$2.300.000.000,00</w:t>
      </w:r>
    </w:p>
    <w:p>
      <w:r>
        <w:t>Para a Eletrobras Termonuclear S/A - Eletronuclear, exclusivamente para a implantação da Usina Nuclear de Angra 3</w:t>
      </w:r>
    </w:p>
    <w:p>
      <w:r>
        <w:t>Até R$1.200.000.000,00</w:t>
      </w:r>
    </w:p>
    <w:p>
      <w:r>
        <w:t>2024</w:t>
      </w:r>
    </w:p>
    <w:p>
      <w:r>
        <w:t>Até R$17.500.000.000,00</w:t>
      </w:r>
    </w:p>
    <w:p>
      <w:r>
        <w:t>Para órgãos e entidades dos estados, do Distrito Federal e dos municípios</w:t>
      </w:r>
    </w:p>
    <w:p>
      <w:r>
        <w:t>Até R$7.000.000.000,00</w:t>
      </w:r>
    </w:p>
    <w:p>
      <w:r>
        <w:t>Até R$31.075.651.683,00</w:t>
      </w:r>
    </w:p>
    <w:p>
      <w:r>
        <w:t>Para operações contempladas no âmbito do Novo Programa de Aceleração do Crescimento - PAC</w:t>
      </w:r>
    </w:p>
    <w:p>
      <w:r>
        <w:t>Até R$500.000.000,00</w:t>
      </w:r>
    </w:p>
    <w:p>
      <w:r>
        <w:t>Para operações contempladas no âmbito do Novo PAC</w:t>
      </w:r>
    </w:p>
    <w:p>
      <w:r>
        <w:t>Até R$500.000.000,00</w:t>
      </w:r>
    </w:p>
    <w:p>
      <w:r>
        <w:t>Para contratações no âmbito de Parcerias Público Privadas - PPPs</w:t>
      </w:r>
    </w:p>
    <w:p>
      <w:r>
        <w:t>Até R$500.000.000,00</w:t>
      </w:r>
    </w:p>
    <w:p>
      <w:r>
        <w:t>Para órgãos e entidades da União</w:t>
      </w:r>
    </w:p>
    <w:p>
      <w:r>
        <w:t>Até R$625.000.000,00</w:t>
      </w:r>
    </w:p>
    <w:p>
      <w:r>
        <w:t>Para a Empresa Brasileira de Participações em Energia Nuclear e Binacional S/A - ENBPar</w:t>
      </w:r>
    </w:p>
    <w:p>
      <w:r>
        <w:t>Até R$1.736.839.681,00</w:t>
      </w:r>
    </w:p>
    <w:p>
      <w:r>
        <w:t>Para a Eletrobras Termonuclear S/A - Eletronuclear</w:t>
      </w:r>
    </w:p>
    <w:p>
      <w:r>
        <w:t>Até R$2.713.812.002,00</w:t>
      </w:r>
    </w:p>
    <w:p>
      <w:r>
        <w:t>2025</w:t>
      </w:r>
    </w:p>
    <w:p>
      <w:r>
        <w:t>Até R$12.100.000.000,00</w:t>
      </w:r>
    </w:p>
    <w:p>
      <w:r>
        <w:t>Para órgãos e entidades dos estados, do Distrito Federal e dos municípios</w:t>
      </w:r>
    </w:p>
    <w:p>
      <w:r>
        <w:t>Até R$6.000.000.000,00</w:t>
      </w:r>
    </w:p>
    <w:p>
      <w:r>
        <w:t>Até R$39.425.651.683,00</w:t>
      </w:r>
    </w:p>
    <w:p>
      <w:r>
        <w:t>Para a Empresa Brasileira de Correios e Telégrafos - Correios</w:t>
      </w:r>
    </w:p>
    <w:p>
      <w:r>
        <w:t>Até R$12.000.000.000,00</w:t>
      </w:r>
    </w:p>
    <w:p>
      <w:r>
        <w:t>Para operações contempladas no âmbito do Novo PAC</w:t>
      </w:r>
    </w:p>
    <w:p>
      <w:r>
        <w:t>Até R$2.900.000.000,00</w:t>
      </w:r>
    </w:p>
    <w:p>
      <w:r>
        <w:t>Para a Empresa Brasileira de Participações em Energia Nuclear e Binacional S/A - ENBPar</w:t>
      </w:r>
    </w:p>
    <w:p>
      <w:r>
        <w:t>Até R$1.736.839.681,00</w:t>
      </w:r>
    </w:p>
    <w:p>
      <w:r>
        <w:t>Para órgãos e entidades da União</w:t>
      </w:r>
    </w:p>
    <w:p>
      <w:r>
        <w:t>Até R$2.425.000.000,00</w:t>
      </w:r>
    </w:p>
    <w:p>
      <w:r>
        <w:t>Para a Eletrobras Termonuclear S/A - Eletronuclear</w:t>
      </w:r>
    </w:p>
    <w:p>
      <w:r>
        <w:t>Até R$2.263.812.002,00</w:t>
      </w:r>
    </w:p>
    <w:p>
      <w:r>
        <w:t>2026</w:t>
      </w:r>
    </w:p>
    <w:p>
      <w:r>
        <w:t>Até R$7.000.000.000,00</w:t>
      </w:r>
    </w:p>
    <w:p>
      <w:r>
        <w:t>Para órgãos e entidades dos estados, do Distrito Federal e dos municípios</w:t>
      </w:r>
    </w:p>
    <w:p>
      <w:r>
        <w:t>Até R$6.000.000.000,00</w:t>
      </w:r>
    </w:p>
    <w:p>
      <w:r>
        <w:t>Até R$26.625.000.000,00</w:t>
      </w:r>
    </w:p>
    <w:p>
      <w:r>
        <w:t>Para operações contempladas no âmbito do Novo PAC</w:t>
      </w:r>
    </w:p>
    <w:p>
      <w:r>
        <w:t>Até R$2.800.000.000,00</w:t>
      </w:r>
    </w:p>
    <w:p>
      <w:r>
        <w:t>Para operações contempladas no âmbito do Novo PAC</w:t>
      </w:r>
    </w:p>
    <w:p>
      <w:r>
        <w:t>Até R$2.200.000.000,00</w:t>
      </w:r>
    </w:p>
    <w:p>
      <w:r>
        <w:t>Para a Empresa Brasileira de Correios e Telégrafos - Correios</w:t>
      </w:r>
    </w:p>
    <w:p>
      <w:r>
        <w:t>Até R$8.000.000.000,00</w:t>
      </w:r>
    </w:p>
    <w:p>
      <w:r>
        <w:t>Para órgãos e entidades da União</w:t>
      </w:r>
    </w:p>
    <w:p>
      <w:r>
        <w:t>Até R$625.000.000,00</w:t>
      </w:r>
    </w:p>
    <w:p>
      <w:pPr>
        <w:pStyle w:val="Heading2"/>
      </w:pPr>
      <w:r>
        <w:t>Portaria Previc Nº 661, DE 26 DE agosto DE 2026 (*)</w:t>
      </w:r>
    </w:p>
    <w:p>
      <w:pPr>
        <w:pStyle w:val="ListBullet"/>
      </w:pPr>
      <w:r>
        <w:t>Ementa: Atualiza a segmentação das Entidades Fechadas de Previdência Complementar para fins de supervisão, fiscalização e proporcionalidade normativa para o ano de 2027.</w:t>
      </w:r>
    </w:p>
    <w:p>
      <w:r>
        <w:t>Categoria: Ministério da Previdência Social/Superintendência Nacional de Previdência Complementar/Diretoria de  Normas</w:t>
      </w:r>
    </w:p>
    <w:p>
      <w:r>
        <w:t>Página: 57</w:t>
      </w:r>
    </w:p>
    <w:p/>
    <w:p>
      <w:r>
        <w:t>Portaria Previc Nº 661, DE 26 DE agosto DE 2026 (*)</w:t>
      </w:r>
    </w:p>
    <w:p>
      <w:r>
        <w:t>Atualiza a segmentação das Entidades Fechadas de Previdência Complementar para fins de supervisão, fiscalização e proporcionalidade normativa para o ano de 2027.</w:t>
      </w:r>
    </w:p>
    <w:p>
      <w:r>
        <w:t>O DIRETOR DE NORMAS DA SUPERINTENDÊNCIA NACIONAL DE PREVIDÊNCIA COMPLEMENTAR - PREVIC, no uso das atribuições que lhe foram conferidas pelo art. 18, inciso II, do Anexo I do Decreto nº 11.241, de 18 de outubro de 2022, considerando o disposto no art. 86, inciso I, da Portaria Previc nº 861, de 9 de outubro de 2024, e no art. 4º da Resolução Previc nº 23, de 14 de agosto de 2023; e conforme ciência da Diretoria Colegiada da Previc em sua 797ª Sessão Ordinária em 25/08/2026 e os documentos do Processo SEI nº 44011.006538/2023-79, resolve:</w:t>
      </w:r>
    </w:p>
    <w:p>
      <w:r>
        <w:t>Âmbito e finalidade</w:t>
      </w:r>
    </w:p>
    <w:p>
      <w:r>
        <w:t>Art. 1º Esta Portaria estabelece os critérios para segmentação das Entidades Fechadas de Previdência Complementar - EFPC para fins de supervisão, fiscalização e proporcionalidade normativa, considerando seu porte e complexidade para o sistema de previdência complementar fechada para o ano de 2027.</w:t>
      </w:r>
    </w:p>
    <w:p>
      <w:r>
        <w:t>Segmentos</w:t>
      </w:r>
    </w:p>
    <w:p>
      <w:r>
        <w:t>Art. 2º As EFPC serão enquadradas, em decorrência da soma dos fatores de porte e de complexidade, em um dos seguintes segmentos:</w:t>
      </w:r>
    </w:p>
    <w:p>
      <w:r>
        <w:t>I - segmento 1 (S1);</w:t>
      </w:r>
    </w:p>
    <w:p>
      <w:r>
        <w:t>II - segmento 2 (S2);</w:t>
      </w:r>
    </w:p>
    <w:p>
      <w:r>
        <w:t>III - segmento 3 (S3); ou</w:t>
      </w:r>
    </w:p>
    <w:p>
      <w:r>
        <w:t>IV - segmento 4 (S4).</w:t>
      </w:r>
    </w:p>
    <w:p>
      <w:r>
        <w:t>Critério de porte</w:t>
      </w:r>
    </w:p>
    <w:p>
      <w:r>
        <w:t>Art. 3º Para determinação do fator de porte da EFPC, será utilizada a razão entre a soma das provisões matemáticas dos planos de benefícios que administra e o total das provisões matemáticas de todos os planos administrados pelas demais EFPC, sendo atribuída:</w:t>
      </w:r>
    </w:p>
    <w:p>
      <w:r>
        <w:t>I - nota 4 quando a razão for superior a 1,5%;</w:t>
      </w:r>
    </w:p>
    <w:p>
      <w:r>
        <w:t>II - nota 3 quando a razão for superior a 0,2% e inferior ou igual a 1,5%;</w:t>
      </w:r>
    </w:p>
    <w:p>
      <w:r>
        <w:t>III - nota 2 quando a razão for superior a 0,05% e inferior ou igual 0,2%; ou</w:t>
      </w:r>
    </w:p>
    <w:p>
      <w:r>
        <w:t>IV - nota 1 quando a razão for inferior ou igual a 0,05%.</w:t>
      </w:r>
    </w:p>
    <w:p>
      <w:r>
        <w:t>Critérios de complexidade</w:t>
      </w:r>
    </w:p>
    <w:p>
      <w:r>
        <w:t>Art. 4º Para a determinação da complexidade da EFPC, será utilizada a média ponderada dos 5 critérios descritos abaixo:</w:t>
      </w:r>
    </w:p>
    <w:p>
      <w:r>
        <w:t>I - número total de participantes e assistidos (população) em relação a população total do sistema, sendo atribuída:</w:t>
      </w:r>
    </w:p>
    <w:p>
      <w:r>
        <w:t>a) nota 1 para as entidades com população no primeiro quartil;</w:t>
      </w:r>
    </w:p>
    <w:p>
      <w:r>
        <w:t>b) nota 2 para as entidades com população no segundo quartil;</w:t>
      </w:r>
    </w:p>
    <w:p>
      <w:r>
        <w:t>c) nota 3 para as entidades com população no terceiro quartil; ou</w:t>
      </w:r>
    </w:p>
    <w:p>
      <w:r>
        <w:t>d) nota 4 para as entidades com população no quarto quartil.</w:t>
      </w:r>
    </w:p>
    <w:p>
      <w:r>
        <w:t>II - número de patrocinadores, em relação ao número total de patrocinadores no sistema, sendo atribuída:</w:t>
      </w:r>
    </w:p>
    <w:p>
      <w:r>
        <w:t>a) nota 1 para as entidades que possuam a quantidade de patrocinadores no primeiro quartil;</w:t>
      </w:r>
    </w:p>
    <w:p>
      <w:r>
        <w:t>b) nota 2 para as entidades que possuam a quantidade de patrocinadores no segundo quartil;</w:t>
      </w:r>
    </w:p>
    <w:p>
      <w:r>
        <w:t>c) nota 3 para as entidades que possuam a quantidade de patrocinadores no terceiro quartil; ou</w:t>
      </w:r>
    </w:p>
    <w:p>
      <w:r>
        <w:t>d) nota 4 para as entidades que possuam a quantidade de patrocinadores no quarto quartil.</w:t>
      </w:r>
    </w:p>
    <w:p>
      <w:r>
        <w:t>III - número e modalidade de planos de benefícios, sendo a nota, o resultado da soma dos critérios apresentados abaixo:</w:t>
      </w:r>
    </w:p>
    <w:p>
      <w:r>
        <w:t>a) adiciona-se 1 ponto à nota, se a entidade possui plano de benefício definido;</w:t>
      </w:r>
    </w:p>
    <w:p>
      <w:r>
        <w:t>b) adiciona-se 1 ponto à nota, se a entidade possui plano de contribuição variável;</w:t>
      </w:r>
    </w:p>
    <w:p>
      <w:r>
        <w:t>c) adiciona-se 1 ponto à nota, se a entidade possui plano de contribuição definida; e</w:t>
      </w:r>
    </w:p>
    <w:p>
      <w:r>
        <w:t>d) adiciona-se 1 ponto à nota, se a entidade possui mais de 10 planos de benefícios.</w:t>
      </w:r>
    </w:p>
    <w:p>
      <w:r>
        <w:t>IV - a razão entre o exigível contingencial e o ativo da EFPC, em relação a todo sistema, sendo atribuída:</w:t>
      </w:r>
    </w:p>
    <w:p>
      <w:r>
        <w:t>a) nota 1 para as entidades em que o valor da razão esteja no primeiro quartil;</w:t>
      </w:r>
    </w:p>
    <w:p>
      <w:r>
        <w:t>b) nota 2 para as entidades em que o valor da razão esteja no segundo quartil;</w:t>
      </w:r>
    </w:p>
    <w:p>
      <w:r>
        <w:t>c) nota 3 para as entidades em que o valor da razão esteja no terceiro quartil; ou</w:t>
      </w:r>
    </w:p>
    <w:p>
      <w:r>
        <w:t>d) nota 4 para as entidades em que o valor da razão esteja no quarto quartil.</w:t>
      </w:r>
    </w:p>
    <w:p>
      <w:r>
        <w:t>V - valor do fluxo previdenciário da EFPC em relação ao somatório do fluxo previdenciário de todo o sistema, sendo atribuída:</w:t>
      </w:r>
    </w:p>
    <w:p>
      <w:r>
        <w:t>a) nota 1 para as entidades em que o fluxo previdenciário esteja no primeiro quartil;</w:t>
      </w:r>
    </w:p>
    <w:p>
      <w:r>
        <w:t>b) nota 2 para as entidades em que o fluxo previdenciário esteja no segundo quartil;</w:t>
      </w:r>
    </w:p>
    <w:p>
      <w:r>
        <w:t>c) nota 3 para as entidades em que o fluxo previdenciário esteja no terceiro quartil; ou</w:t>
      </w:r>
    </w:p>
    <w:p>
      <w:r>
        <w:t>d) nota 4 para as entidades em que o fluxo previdenciário esteja no quarto quartil.</w:t>
      </w:r>
    </w:p>
    <w:p>
      <w:r>
        <w:t>Art. 5º Para o cálculo da média ponderada do art. 4º, serão atribuídos os pesos listados abaixo:</w:t>
      </w:r>
    </w:p>
    <w:p>
      <w:r>
        <w:t>I - peso 3 para o critério de número total de participantes e assistidos;</w:t>
      </w:r>
    </w:p>
    <w:p>
      <w:r>
        <w:t>II - peso 1 para o critério de número de patrocinadores;</w:t>
      </w:r>
    </w:p>
    <w:p>
      <w:r>
        <w:t>III - peso 1 para o critério de número e modalidade de planos de benefícios;</w:t>
      </w:r>
    </w:p>
    <w:p>
      <w:r>
        <w:t>IV - peso 2 para o critério da razão entre o exigível contingencial sobre o ativo da EFPC; e</w:t>
      </w:r>
    </w:p>
    <w:p>
      <w:r>
        <w:t>V - peso 2 para o critério do fluxo previdenciário.</w:t>
      </w:r>
    </w:p>
    <w:p>
      <w:r>
        <w:t>Classificação das entidades</w:t>
      </w:r>
    </w:p>
    <w:p>
      <w:r>
        <w:t>Art. 6º Para a classificação das entidades em cada segmento será realizada a soma da pontuação alcançada nos critérios de porte do art. 3º e a pontuação alcançada pela média ponderada dos critérios de complexidade do art. 4º.</w:t>
      </w:r>
    </w:p>
    <w:p>
      <w:r>
        <w:t>Art. 7º Serão classificadas no segmento:</w:t>
      </w:r>
    </w:p>
    <w:p>
      <w:r>
        <w:t>I - S1 as entidades com pontuação superior a 7;</w:t>
      </w:r>
    </w:p>
    <w:p>
      <w:r>
        <w:t>II - S2 as entidades com pontuação superior a 5 e inferior ou igual a 7;</w:t>
      </w:r>
    </w:p>
    <w:p>
      <w:r>
        <w:t>III - S3 as entidades com pontuação superior a 3 e inferior ou igual a 5; ou</w:t>
      </w:r>
    </w:p>
    <w:p>
      <w:r>
        <w:t>IV - S4 as entidades com pontuação inferior ou igual a 3.</w:t>
      </w:r>
    </w:p>
    <w:p>
      <w:r>
        <w:t>Publicação</w:t>
      </w:r>
    </w:p>
    <w:p>
      <w:r>
        <w:t>Art. 8º O Anexo Único, denominado Lista de EFPC por quadrante de segmentação - 2027, foi elaborado com base em informações consolidadas das EFPC relativas ao mês de dezembro de 2025.</w:t>
      </w:r>
    </w:p>
    <w:p>
      <w:r>
        <w:t>Art. 9º Fica revogada, a partir de 1º de janeiro de 2027, a Portaria Previc nº 539, de 17 de junho de 2025, publicada no Diário Oficial da União em 23 de junho de 2025, edição nº 155, seção 1, página 62.</w:t>
      </w:r>
    </w:p>
    <w:p>
      <w:r>
        <w:t>Art. 10. Esta Portaria entra em vigor em 1º de janeiro de 2027.</w:t>
      </w:r>
    </w:p>
    <w:p>
      <w:r>
        <w:t>ALCINEI CARDOSO RODRIGUES</w:t>
      </w:r>
    </w:p>
    <w:p>
      <w:r>
        <w:t>ANEXO ÚNICO</w:t>
      </w:r>
    </w:p>
    <w:p>
      <w:r>
        <w:t>Lista de EFPC por quadrante da segmentação - 2027</w:t>
      </w:r>
    </w:p>
    <w:tbl>
      <w:tblPr>
        <w:tblW w:type="auto" w:w="0"/>
        <w:tblLook w:firstColumn="1" w:firstRow="1" w:lastColumn="0" w:lastRow="0" w:noHBand="0" w:noVBand="1" w:val="04A0"/>
      </w:tblPr>
      <w:tblGrid>
        <w:gridCol w:w="4320"/>
        <w:gridCol w:w="4320"/>
      </w:tblGrid>
      <w:tr>
        <w:tc>
          <w:tcPr>
            <w:tcW w:type="dxa" w:w="4320"/>
          </w:tcPr>
          <w:p/>
        </w:tc>
        <w:tc>
          <w:tcPr>
            <w:tcW w:type="dxa" w:w="4320"/>
          </w:tcPr>
          <w:p/>
        </w:tc>
      </w:tr>
      <w:tr>
        <w:tc>
          <w:tcPr>
            <w:tcW w:type="dxa" w:w="4320"/>
          </w:tcPr>
          <w:p>
            <w:r>
              <w:t>Sigla EFPC</w:t>
            </w:r>
          </w:p>
        </w:tc>
        <w:tc>
          <w:tcPr>
            <w:tcW w:type="dxa" w:w="4320"/>
          </w:tcPr>
          <w:p>
            <w:r>
              <w:t>Segmento</w:t>
            </w:r>
          </w:p>
        </w:tc>
      </w:tr>
      <w:tr>
        <w:tc>
          <w:tcPr>
            <w:tcW w:type="dxa" w:w="4320"/>
          </w:tcPr>
          <w:p>
            <w:r>
              <w:t>BANESPREV</w:t>
            </w:r>
          </w:p>
        </w:tc>
        <w:tc>
          <w:tcPr>
            <w:tcW w:type="dxa" w:w="4320"/>
          </w:tcPr>
          <w:p>
            <w:r>
              <w:t>S1</w:t>
            </w:r>
          </w:p>
        </w:tc>
      </w:tr>
      <w:tr>
        <w:tc>
          <w:tcPr>
            <w:tcW w:type="dxa" w:w="4320"/>
          </w:tcPr>
          <w:p>
            <w:r>
              <w:t>FORLUZ</w:t>
            </w:r>
          </w:p>
        </w:tc>
        <w:tc>
          <w:tcPr>
            <w:tcW w:type="dxa" w:w="4320"/>
          </w:tcPr>
          <w:p>
            <w:r>
              <w:t>S1</w:t>
            </w:r>
          </w:p>
        </w:tc>
      </w:tr>
      <w:tr>
        <w:tc>
          <w:tcPr>
            <w:tcW w:type="dxa" w:w="4320"/>
          </w:tcPr>
          <w:p>
            <w:r>
              <w:t>FUNCEF</w:t>
            </w:r>
          </w:p>
        </w:tc>
        <w:tc>
          <w:tcPr>
            <w:tcW w:type="dxa" w:w="4320"/>
          </w:tcPr>
          <w:p>
            <w:r>
              <w:t>S1</w:t>
            </w:r>
          </w:p>
        </w:tc>
      </w:tr>
      <w:tr>
        <w:tc>
          <w:tcPr>
            <w:tcW w:type="dxa" w:w="4320"/>
          </w:tcPr>
          <w:p>
            <w:r>
              <w:t>FUNCESP (VIVEST)</w:t>
            </w:r>
          </w:p>
        </w:tc>
        <w:tc>
          <w:tcPr>
            <w:tcW w:type="dxa" w:w="4320"/>
          </w:tcPr>
          <w:p>
            <w:r>
              <w:t>S1</w:t>
            </w:r>
          </w:p>
        </w:tc>
      </w:tr>
      <w:tr>
        <w:tc>
          <w:tcPr>
            <w:tcW w:type="dxa" w:w="4320"/>
          </w:tcPr>
          <w:p>
            <w:r>
              <w:t>ITAU UNIBANCO</w:t>
            </w:r>
          </w:p>
        </w:tc>
        <w:tc>
          <w:tcPr>
            <w:tcW w:type="dxa" w:w="4320"/>
          </w:tcPr>
          <w:p>
            <w:r>
              <w:t>S1</w:t>
            </w:r>
          </w:p>
        </w:tc>
      </w:tr>
      <w:tr>
        <w:tc>
          <w:tcPr>
            <w:tcW w:type="dxa" w:w="4320"/>
          </w:tcPr>
          <w:p>
            <w:r>
              <w:t>PETROS</w:t>
            </w:r>
          </w:p>
        </w:tc>
        <w:tc>
          <w:tcPr>
            <w:tcW w:type="dxa" w:w="4320"/>
          </w:tcPr>
          <w:p>
            <w:r>
              <w:t>S1</w:t>
            </w:r>
          </w:p>
        </w:tc>
      </w:tr>
      <w:tr>
        <w:tc>
          <w:tcPr>
            <w:tcW w:type="dxa" w:w="4320"/>
          </w:tcPr>
          <w:p>
            <w:r>
              <w:t>POSTALIS</w:t>
            </w:r>
          </w:p>
        </w:tc>
        <w:tc>
          <w:tcPr>
            <w:tcW w:type="dxa" w:w="4320"/>
          </w:tcPr>
          <w:p>
            <w:r>
              <w:t>S1</w:t>
            </w:r>
          </w:p>
        </w:tc>
      </w:tr>
      <w:tr>
        <w:tc>
          <w:tcPr>
            <w:tcW w:type="dxa" w:w="4320"/>
          </w:tcPr>
          <w:p>
            <w:r>
              <w:t>PREVI/BB</w:t>
            </w:r>
          </w:p>
        </w:tc>
        <w:tc>
          <w:tcPr>
            <w:tcW w:type="dxa" w:w="4320"/>
          </w:tcPr>
          <w:p>
            <w:r>
              <w:t>S1</w:t>
            </w:r>
          </w:p>
        </w:tc>
      </w:tr>
      <w:tr>
        <w:tc>
          <w:tcPr>
            <w:tcW w:type="dxa" w:w="4320"/>
          </w:tcPr>
          <w:p>
            <w:r>
              <w:t>VALIA</w:t>
            </w:r>
          </w:p>
        </w:tc>
        <w:tc>
          <w:tcPr>
            <w:tcW w:type="dxa" w:w="4320"/>
          </w:tcPr>
          <w:p>
            <w:r>
              <w:t>S1</w:t>
            </w:r>
          </w:p>
        </w:tc>
      </w:tr>
      <w:tr>
        <w:tc>
          <w:tcPr>
            <w:tcW w:type="dxa" w:w="4320"/>
          </w:tcPr>
          <w:p>
            <w:r>
              <w:t>BANRISUL/FBSS</w:t>
            </w:r>
          </w:p>
        </w:tc>
        <w:tc>
          <w:tcPr>
            <w:tcW w:type="dxa" w:w="4320"/>
          </w:tcPr>
          <w:p>
            <w:r>
              <w:t>S2</w:t>
            </w:r>
          </w:p>
        </w:tc>
      </w:tr>
      <w:tr>
        <w:tc>
          <w:tcPr>
            <w:tcW w:type="dxa" w:w="4320"/>
          </w:tcPr>
          <w:p>
            <w:r>
              <w:t>BB PREVIDENCIA</w:t>
            </w:r>
          </w:p>
        </w:tc>
        <w:tc>
          <w:tcPr>
            <w:tcW w:type="dxa" w:w="4320"/>
          </w:tcPr>
          <w:p>
            <w:r>
              <w:t>S2</w:t>
            </w:r>
          </w:p>
        </w:tc>
      </w:tr>
      <w:tr>
        <w:tc>
          <w:tcPr>
            <w:tcW w:type="dxa" w:w="4320"/>
          </w:tcPr>
          <w:p>
            <w:r>
              <w:t>BRASLIGHT</w:t>
            </w:r>
          </w:p>
        </w:tc>
        <w:tc>
          <w:tcPr>
            <w:tcW w:type="dxa" w:w="4320"/>
          </w:tcPr>
          <w:p>
            <w:r>
              <w:t>S2</w:t>
            </w:r>
          </w:p>
        </w:tc>
      </w:tr>
      <w:tr>
        <w:tc>
          <w:tcPr>
            <w:tcW w:type="dxa" w:w="4320"/>
          </w:tcPr>
          <w:p>
            <w:r>
              <w:t>BRF PREVIDÊNCIA</w:t>
            </w:r>
          </w:p>
        </w:tc>
        <w:tc>
          <w:tcPr>
            <w:tcW w:type="dxa" w:w="4320"/>
          </w:tcPr>
          <w:p>
            <w:r>
              <w:t>S2</w:t>
            </w:r>
          </w:p>
        </w:tc>
      </w:tr>
      <w:tr>
        <w:tc>
          <w:tcPr>
            <w:tcW w:type="dxa" w:w="4320"/>
          </w:tcPr>
          <w:p>
            <w:r>
              <w:t>CAPEF</w:t>
            </w:r>
          </w:p>
        </w:tc>
        <w:tc>
          <w:tcPr>
            <w:tcW w:type="dxa" w:w="4320"/>
          </w:tcPr>
          <w:p>
            <w:r>
              <w:t>S2</w:t>
            </w:r>
          </w:p>
        </w:tc>
      </w:tr>
      <w:tr>
        <w:tc>
          <w:tcPr>
            <w:tcW w:type="dxa" w:w="4320"/>
          </w:tcPr>
          <w:p>
            <w:r>
              <w:t>CBS</w:t>
            </w:r>
          </w:p>
        </w:tc>
        <w:tc>
          <w:tcPr>
            <w:tcW w:type="dxa" w:w="4320"/>
          </w:tcPr>
          <w:p>
            <w:r>
              <w:t>S2</w:t>
            </w:r>
          </w:p>
        </w:tc>
      </w:tr>
      <w:tr>
        <w:tc>
          <w:tcPr>
            <w:tcW w:type="dxa" w:w="4320"/>
          </w:tcPr>
          <w:p>
            <w:r>
              <w:t>CELOS</w:t>
            </w:r>
          </w:p>
        </w:tc>
        <w:tc>
          <w:tcPr>
            <w:tcW w:type="dxa" w:w="4320"/>
          </w:tcPr>
          <w:p>
            <w:r>
              <w:t>S2</w:t>
            </w:r>
          </w:p>
        </w:tc>
      </w:tr>
      <w:tr>
        <w:tc>
          <w:tcPr>
            <w:tcW w:type="dxa" w:w="4320"/>
          </w:tcPr>
          <w:p>
            <w:r>
              <w:t>CENTRUS</w:t>
            </w:r>
          </w:p>
        </w:tc>
        <w:tc>
          <w:tcPr>
            <w:tcW w:type="dxa" w:w="4320"/>
          </w:tcPr>
          <w:p>
            <w:r>
              <w:t>S2</w:t>
            </w:r>
          </w:p>
        </w:tc>
      </w:tr>
      <w:tr>
        <w:tc>
          <w:tcPr>
            <w:tcW w:type="dxa" w:w="4320"/>
          </w:tcPr>
          <w:p>
            <w:r>
              <w:t>CERES</w:t>
            </w:r>
          </w:p>
        </w:tc>
        <w:tc>
          <w:tcPr>
            <w:tcW w:type="dxa" w:w="4320"/>
          </w:tcPr>
          <w:p>
            <w:r>
              <w:t>S2</w:t>
            </w:r>
          </w:p>
        </w:tc>
      </w:tr>
      <w:tr>
        <w:tc>
          <w:tcPr>
            <w:tcW w:type="dxa" w:w="4320"/>
          </w:tcPr>
          <w:p>
            <w:r>
              <w:t>CIBRIUS</w:t>
            </w:r>
          </w:p>
        </w:tc>
        <w:tc>
          <w:tcPr>
            <w:tcW w:type="dxa" w:w="4320"/>
          </w:tcPr>
          <w:p>
            <w:r>
              <w:t>S2</w:t>
            </w:r>
          </w:p>
        </w:tc>
      </w:tr>
      <w:tr>
        <w:tc>
          <w:tcPr>
            <w:tcW w:type="dxa" w:w="4320"/>
          </w:tcPr>
          <w:p>
            <w:r>
              <w:t>CITIPREVI</w:t>
            </w:r>
          </w:p>
        </w:tc>
        <w:tc>
          <w:tcPr>
            <w:tcW w:type="dxa" w:w="4320"/>
          </w:tcPr>
          <w:p>
            <w:r>
              <w:t>S2</w:t>
            </w:r>
          </w:p>
        </w:tc>
      </w:tr>
      <w:tr>
        <w:tc>
          <w:tcPr>
            <w:tcW w:type="dxa" w:w="4320"/>
          </w:tcPr>
          <w:p>
            <w:r>
              <w:t>ECONOMUS</w:t>
            </w:r>
          </w:p>
        </w:tc>
        <w:tc>
          <w:tcPr>
            <w:tcW w:type="dxa" w:w="4320"/>
          </w:tcPr>
          <w:p>
            <w:r>
              <w:t>S2</w:t>
            </w:r>
          </w:p>
        </w:tc>
      </w:tr>
      <w:tr>
        <w:tc>
          <w:tcPr>
            <w:tcW w:type="dxa" w:w="4320"/>
          </w:tcPr>
          <w:p>
            <w:r>
              <w:t>ELETROS</w:t>
            </w:r>
          </w:p>
        </w:tc>
        <w:tc>
          <w:tcPr>
            <w:tcW w:type="dxa" w:w="4320"/>
          </w:tcPr>
          <w:p>
            <w:r>
              <w:t>S2</w:t>
            </w:r>
          </w:p>
        </w:tc>
      </w:tr>
      <w:tr>
        <w:tc>
          <w:tcPr>
            <w:tcW w:type="dxa" w:w="4320"/>
          </w:tcPr>
          <w:p>
            <w:r>
              <w:t>ELOS</w:t>
            </w:r>
          </w:p>
        </w:tc>
        <w:tc>
          <w:tcPr>
            <w:tcW w:type="dxa" w:w="4320"/>
          </w:tcPr>
          <w:p>
            <w:r>
              <w:t>S2</w:t>
            </w:r>
          </w:p>
        </w:tc>
      </w:tr>
      <w:tr>
        <w:tc>
          <w:tcPr>
            <w:tcW w:type="dxa" w:w="4320"/>
          </w:tcPr>
          <w:p>
            <w:r>
              <w:t>EMBRAER PREV</w:t>
            </w:r>
          </w:p>
        </w:tc>
        <w:tc>
          <w:tcPr>
            <w:tcW w:type="dxa" w:w="4320"/>
          </w:tcPr>
          <w:p>
            <w:r>
              <w:t>S2</w:t>
            </w:r>
          </w:p>
        </w:tc>
      </w:tr>
      <w:tr>
        <w:tc>
          <w:tcPr>
            <w:tcW w:type="dxa" w:w="4320"/>
          </w:tcPr>
          <w:p>
            <w:r>
              <w:t>ENERGISAPREV</w:t>
            </w:r>
          </w:p>
        </w:tc>
        <w:tc>
          <w:tcPr>
            <w:tcW w:type="dxa" w:w="4320"/>
          </w:tcPr>
          <w:p>
            <w:r>
              <w:t>S2</w:t>
            </w:r>
          </w:p>
        </w:tc>
      </w:tr>
      <w:tr>
        <w:tc>
          <w:tcPr>
            <w:tcW w:type="dxa" w:w="4320"/>
          </w:tcPr>
          <w:p>
            <w:r>
              <w:t>EQTPREV</w:t>
            </w:r>
          </w:p>
        </w:tc>
        <w:tc>
          <w:tcPr>
            <w:tcW w:type="dxa" w:w="4320"/>
          </w:tcPr>
          <w:p>
            <w:r>
              <w:t>S2</w:t>
            </w:r>
          </w:p>
        </w:tc>
      </w:tr>
      <w:tr>
        <w:tc>
          <w:tcPr>
            <w:tcW w:type="dxa" w:w="4320"/>
          </w:tcPr>
          <w:p>
            <w:r>
              <w:t>FACHESF</w:t>
            </w:r>
          </w:p>
        </w:tc>
        <w:tc>
          <w:tcPr>
            <w:tcW w:type="dxa" w:w="4320"/>
          </w:tcPr>
          <w:p>
            <w:r>
              <w:t>S2</w:t>
            </w:r>
          </w:p>
        </w:tc>
      </w:tr>
      <w:tr>
        <w:tc>
          <w:tcPr>
            <w:tcW w:type="dxa" w:w="4320"/>
          </w:tcPr>
          <w:p>
            <w:r>
              <w:t>FAMILIA PREVIDENCIA</w:t>
            </w:r>
          </w:p>
        </w:tc>
        <w:tc>
          <w:tcPr>
            <w:tcW w:type="dxa" w:w="4320"/>
          </w:tcPr>
          <w:p>
            <w:r>
              <w:t>S2</w:t>
            </w:r>
          </w:p>
        </w:tc>
      </w:tr>
      <w:tr>
        <w:tc>
          <w:tcPr>
            <w:tcW w:type="dxa" w:w="4320"/>
          </w:tcPr>
          <w:p>
            <w:r>
              <w:t>FAPES</w:t>
            </w:r>
          </w:p>
        </w:tc>
        <w:tc>
          <w:tcPr>
            <w:tcW w:type="dxa" w:w="4320"/>
          </w:tcPr>
          <w:p>
            <w:r>
              <w:t>S2</w:t>
            </w:r>
          </w:p>
        </w:tc>
      </w:tr>
      <w:tr>
        <w:tc>
          <w:tcPr>
            <w:tcW w:type="dxa" w:w="4320"/>
          </w:tcPr>
          <w:p>
            <w:r>
              <w:t>FATL</w:t>
            </w:r>
          </w:p>
        </w:tc>
        <w:tc>
          <w:tcPr>
            <w:tcW w:type="dxa" w:w="4320"/>
          </w:tcPr>
          <w:p>
            <w:r>
              <w:t>S2</w:t>
            </w:r>
          </w:p>
        </w:tc>
      </w:tr>
      <w:tr>
        <w:tc>
          <w:tcPr>
            <w:tcW w:type="dxa" w:w="4320"/>
          </w:tcPr>
          <w:p>
            <w:r>
              <w:t>FIBRA</w:t>
            </w:r>
          </w:p>
        </w:tc>
        <w:tc>
          <w:tcPr>
            <w:tcW w:type="dxa" w:w="4320"/>
          </w:tcPr>
          <w:p>
            <w:r>
              <w:t>S2</w:t>
            </w:r>
          </w:p>
        </w:tc>
      </w:tr>
      <w:tr>
        <w:tc>
          <w:tcPr>
            <w:tcW w:type="dxa" w:w="4320"/>
          </w:tcPr>
          <w:p>
            <w:r>
              <w:t>FUNBEP</w:t>
            </w:r>
          </w:p>
        </w:tc>
        <w:tc>
          <w:tcPr>
            <w:tcW w:type="dxa" w:w="4320"/>
          </w:tcPr>
          <w:p>
            <w:r>
              <w:t>S2</w:t>
            </w:r>
          </w:p>
        </w:tc>
      </w:tr>
      <w:tr>
        <w:tc>
          <w:tcPr>
            <w:tcW w:type="dxa" w:w="4320"/>
          </w:tcPr>
          <w:p>
            <w:r>
              <w:t>FUNDACAO COPEL</w:t>
            </w:r>
          </w:p>
        </w:tc>
        <w:tc>
          <w:tcPr>
            <w:tcW w:type="dxa" w:w="4320"/>
          </w:tcPr>
          <w:p>
            <w:r>
              <w:t>S2</w:t>
            </w:r>
          </w:p>
        </w:tc>
      </w:tr>
      <w:tr>
        <w:tc>
          <w:tcPr>
            <w:tcW w:type="dxa" w:w="4320"/>
          </w:tcPr>
          <w:p>
            <w:r>
              <w:t>FUNDAÇÃO LIBERTAS</w:t>
            </w:r>
          </w:p>
        </w:tc>
        <w:tc>
          <w:tcPr>
            <w:tcW w:type="dxa" w:w="4320"/>
          </w:tcPr>
          <w:p>
            <w:r>
              <w:t>S2</w:t>
            </w:r>
          </w:p>
        </w:tc>
      </w:tr>
      <w:tr>
        <w:tc>
          <w:tcPr>
            <w:tcW w:type="dxa" w:w="4320"/>
          </w:tcPr>
          <w:p>
            <w:r>
              <w:t>FUNEPP</w:t>
            </w:r>
          </w:p>
        </w:tc>
        <w:tc>
          <w:tcPr>
            <w:tcW w:type="dxa" w:w="4320"/>
          </w:tcPr>
          <w:p>
            <w:r>
              <w:t>S2</w:t>
            </w:r>
          </w:p>
        </w:tc>
      </w:tr>
      <w:tr>
        <w:tc>
          <w:tcPr>
            <w:tcW w:type="dxa" w:w="4320"/>
          </w:tcPr>
          <w:p>
            <w:r>
              <w:t>FUNPRESP-EXE</w:t>
            </w:r>
          </w:p>
        </w:tc>
        <w:tc>
          <w:tcPr>
            <w:tcW w:type="dxa" w:w="4320"/>
          </w:tcPr>
          <w:p>
            <w:r>
              <w:t>S2</w:t>
            </w:r>
          </w:p>
        </w:tc>
      </w:tr>
      <w:tr>
        <w:tc>
          <w:tcPr>
            <w:tcW w:type="dxa" w:w="4320"/>
          </w:tcPr>
          <w:p>
            <w:r>
              <w:t>FUNPRESP-JUD</w:t>
            </w:r>
          </w:p>
        </w:tc>
        <w:tc>
          <w:tcPr>
            <w:tcW w:type="dxa" w:w="4320"/>
          </w:tcPr>
          <w:p>
            <w:r>
              <w:t>S2</w:t>
            </w:r>
          </w:p>
        </w:tc>
      </w:tr>
      <w:tr>
        <w:tc>
          <w:tcPr>
            <w:tcW w:type="dxa" w:w="4320"/>
          </w:tcPr>
          <w:p>
            <w:r>
              <w:t>FUNSSEST</w:t>
            </w:r>
          </w:p>
        </w:tc>
        <w:tc>
          <w:tcPr>
            <w:tcW w:type="dxa" w:w="4320"/>
          </w:tcPr>
          <w:p>
            <w:r>
              <w:t>S2</w:t>
            </w:r>
          </w:p>
        </w:tc>
      </w:tr>
      <w:tr>
        <w:tc>
          <w:tcPr>
            <w:tcW w:type="dxa" w:w="4320"/>
          </w:tcPr>
          <w:p>
            <w:r>
              <w:t>FUSAN</w:t>
            </w:r>
          </w:p>
        </w:tc>
        <w:tc>
          <w:tcPr>
            <w:tcW w:type="dxa" w:w="4320"/>
          </w:tcPr>
          <w:p>
            <w:r>
              <w:t>S2</w:t>
            </w:r>
          </w:p>
        </w:tc>
      </w:tr>
      <w:tr>
        <w:tc>
          <w:tcPr>
            <w:tcW w:type="dxa" w:w="4320"/>
          </w:tcPr>
          <w:p>
            <w:r>
              <w:t>FUSESC</w:t>
            </w:r>
          </w:p>
        </w:tc>
        <w:tc>
          <w:tcPr>
            <w:tcW w:type="dxa" w:w="4320"/>
          </w:tcPr>
          <w:p>
            <w:r>
              <w:t>S2</w:t>
            </w:r>
          </w:p>
        </w:tc>
      </w:tr>
      <w:tr>
        <w:tc>
          <w:tcPr>
            <w:tcW w:type="dxa" w:w="4320"/>
          </w:tcPr>
          <w:p>
            <w:r>
              <w:t>GEBSA-PREV</w:t>
            </w:r>
          </w:p>
        </w:tc>
        <w:tc>
          <w:tcPr>
            <w:tcW w:type="dxa" w:w="4320"/>
          </w:tcPr>
          <w:p>
            <w:r>
              <w:t>S2</w:t>
            </w:r>
          </w:p>
        </w:tc>
      </w:tr>
      <w:tr>
        <w:tc>
          <w:tcPr>
            <w:tcW w:type="dxa" w:w="4320"/>
          </w:tcPr>
          <w:p>
            <w:r>
              <w:t>GERDAU</w:t>
            </w:r>
          </w:p>
        </w:tc>
        <w:tc>
          <w:tcPr>
            <w:tcW w:type="dxa" w:w="4320"/>
          </w:tcPr>
          <w:p>
            <w:r>
              <w:t>S2</w:t>
            </w:r>
          </w:p>
        </w:tc>
      </w:tr>
      <w:tr>
        <w:tc>
          <w:tcPr>
            <w:tcW w:type="dxa" w:w="4320"/>
          </w:tcPr>
          <w:p>
            <w:r>
              <w:t>IBM</w:t>
            </w:r>
          </w:p>
        </w:tc>
        <w:tc>
          <w:tcPr>
            <w:tcW w:type="dxa" w:w="4320"/>
          </w:tcPr>
          <w:p>
            <w:r>
              <w:t>S2</w:t>
            </w:r>
          </w:p>
        </w:tc>
      </w:tr>
      <w:tr>
        <w:tc>
          <w:tcPr>
            <w:tcW w:type="dxa" w:w="4320"/>
          </w:tcPr>
          <w:p>
            <w:r>
              <w:t>ICATUFMP</w:t>
            </w:r>
          </w:p>
        </w:tc>
        <w:tc>
          <w:tcPr>
            <w:tcW w:type="dxa" w:w="4320"/>
          </w:tcPr>
          <w:p>
            <w:r>
              <w:t>S2</w:t>
            </w:r>
          </w:p>
        </w:tc>
      </w:tr>
      <w:tr>
        <w:tc>
          <w:tcPr>
            <w:tcW w:type="dxa" w:w="4320"/>
          </w:tcPr>
          <w:p>
            <w:r>
              <w:t>IFM</w:t>
            </w:r>
          </w:p>
        </w:tc>
        <w:tc>
          <w:tcPr>
            <w:tcW w:type="dxa" w:w="4320"/>
          </w:tcPr>
          <w:p>
            <w:r>
              <w:t>S2</w:t>
            </w:r>
          </w:p>
        </w:tc>
      </w:tr>
      <w:tr>
        <w:tc>
          <w:tcPr>
            <w:tcW w:type="dxa" w:w="4320"/>
          </w:tcPr>
          <w:p>
            <w:r>
              <w:t>INFRAPREV</w:t>
            </w:r>
          </w:p>
        </w:tc>
        <w:tc>
          <w:tcPr>
            <w:tcW w:type="dxa" w:w="4320"/>
          </w:tcPr>
          <w:p>
            <w:r>
              <w:t>S2</w:t>
            </w:r>
          </w:p>
        </w:tc>
      </w:tr>
      <w:tr>
        <w:tc>
          <w:tcPr>
            <w:tcW w:type="dxa" w:w="4320"/>
          </w:tcPr>
          <w:p>
            <w:r>
              <w:t>INSTITUTO AMBEV</w:t>
            </w:r>
          </w:p>
        </w:tc>
        <w:tc>
          <w:tcPr>
            <w:tcW w:type="dxa" w:w="4320"/>
          </w:tcPr>
          <w:p>
            <w:r>
              <w:t>S2</w:t>
            </w:r>
          </w:p>
        </w:tc>
      </w:tr>
      <w:tr>
        <w:tc>
          <w:tcPr>
            <w:tcW w:type="dxa" w:w="4320"/>
          </w:tcPr>
          <w:p>
            <w:r>
              <w:t>ITAUSAINDL</w:t>
            </w:r>
          </w:p>
        </w:tc>
        <w:tc>
          <w:tcPr>
            <w:tcW w:type="dxa" w:w="4320"/>
          </w:tcPr>
          <w:p>
            <w:r>
              <w:t>S2</w:t>
            </w:r>
          </w:p>
        </w:tc>
      </w:tr>
      <w:tr>
        <w:tc>
          <w:tcPr>
            <w:tcW w:type="dxa" w:w="4320"/>
          </w:tcPr>
          <w:p>
            <w:r>
              <w:t>METRUS</w:t>
            </w:r>
          </w:p>
        </w:tc>
        <w:tc>
          <w:tcPr>
            <w:tcW w:type="dxa" w:w="4320"/>
          </w:tcPr>
          <w:p>
            <w:r>
              <w:t>S2</w:t>
            </w:r>
          </w:p>
        </w:tc>
      </w:tr>
      <w:tr>
        <w:tc>
          <w:tcPr>
            <w:tcW w:type="dxa" w:w="4320"/>
          </w:tcPr>
          <w:p>
            <w:r>
              <w:t>MULTIBRA</w:t>
            </w:r>
          </w:p>
        </w:tc>
        <w:tc>
          <w:tcPr>
            <w:tcW w:type="dxa" w:w="4320"/>
          </w:tcPr>
          <w:p>
            <w:r>
              <w:t>S2</w:t>
            </w:r>
          </w:p>
        </w:tc>
      </w:tr>
      <w:tr>
        <w:tc>
          <w:tcPr>
            <w:tcW w:type="dxa" w:w="4320"/>
          </w:tcPr>
          <w:p>
            <w:r>
              <w:t>MULTICOOP</w:t>
            </w:r>
          </w:p>
        </w:tc>
        <w:tc>
          <w:tcPr>
            <w:tcW w:type="dxa" w:w="4320"/>
          </w:tcPr>
          <w:p>
            <w:r>
              <w:t>S2</w:t>
            </w:r>
          </w:p>
        </w:tc>
      </w:tr>
      <w:tr>
        <w:tc>
          <w:tcPr>
            <w:tcW w:type="dxa" w:w="4320"/>
          </w:tcPr>
          <w:p>
            <w:r>
              <w:t>MULTIPENSIONS</w:t>
            </w:r>
          </w:p>
        </w:tc>
        <w:tc>
          <w:tcPr>
            <w:tcW w:type="dxa" w:w="4320"/>
          </w:tcPr>
          <w:p>
            <w:r>
              <w:t>S2</w:t>
            </w:r>
          </w:p>
        </w:tc>
      </w:tr>
      <w:tr>
        <w:tc>
          <w:tcPr>
            <w:tcW w:type="dxa" w:w="4320"/>
          </w:tcPr>
          <w:p>
            <w:r>
              <w:t>MULTIPLA</w:t>
            </w:r>
          </w:p>
        </w:tc>
        <w:tc>
          <w:tcPr>
            <w:tcW w:type="dxa" w:w="4320"/>
          </w:tcPr>
          <w:p>
            <w:r>
              <w:t>S2</w:t>
            </w:r>
          </w:p>
        </w:tc>
      </w:tr>
      <w:tr>
        <w:tc>
          <w:tcPr>
            <w:tcW w:type="dxa" w:w="4320"/>
          </w:tcPr>
          <w:p>
            <w:r>
              <w:t>MULTIPREV</w:t>
            </w:r>
          </w:p>
        </w:tc>
        <w:tc>
          <w:tcPr>
            <w:tcW w:type="dxa" w:w="4320"/>
          </w:tcPr>
          <w:p>
            <w:r>
              <w:t>S2</w:t>
            </w:r>
          </w:p>
        </w:tc>
      </w:tr>
      <w:tr>
        <w:tc>
          <w:tcPr>
            <w:tcW w:type="dxa" w:w="4320"/>
          </w:tcPr>
          <w:p>
            <w:r>
              <w:t>NÉOS</w:t>
            </w:r>
          </w:p>
        </w:tc>
        <w:tc>
          <w:tcPr>
            <w:tcW w:type="dxa" w:w="4320"/>
          </w:tcPr>
          <w:p>
            <w:r>
              <w:t>S2</w:t>
            </w:r>
          </w:p>
        </w:tc>
      </w:tr>
      <w:tr>
        <w:tc>
          <w:tcPr>
            <w:tcW w:type="dxa" w:w="4320"/>
          </w:tcPr>
          <w:p>
            <w:r>
              <w:t>NUCLEOS</w:t>
            </w:r>
          </w:p>
        </w:tc>
        <w:tc>
          <w:tcPr>
            <w:tcW w:type="dxa" w:w="4320"/>
          </w:tcPr>
          <w:p>
            <w:r>
              <w:t>S2</w:t>
            </w:r>
          </w:p>
        </w:tc>
      </w:tr>
      <w:tr>
        <w:tc>
          <w:tcPr>
            <w:tcW w:type="dxa" w:w="4320"/>
          </w:tcPr>
          <w:p>
            <w:r>
              <w:t>PRECE</w:t>
            </w:r>
          </w:p>
        </w:tc>
        <w:tc>
          <w:tcPr>
            <w:tcW w:type="dxa" w:w="4320"/>
          </w:tcPr>
          <w:p>
            <w:r>
              <w:t>S2</w:t>
            </w:r>
          </w:p>
        </w:tc>
      </w:tr>
      <w:tr>
        <w:tc>
          <w:tcPr>
            <w:tcW w:type="dxa" w:w="4320"/>
          </w:tcPr>
          <w:p>
            <w:r>
              <w:t>PREVIBAYER</w:t>
            </w:r>
          </w:p>
        </w:tc>
        <w:tc>
          <w:tcPr>
            <w:tcW w:type="dxa" w:w="4320"/>
          </w:tcPr>
          <w:p>
            <w:r>
              <w:t>S2</w:t>
            </w:r>
          </w:p>
        </w:tc>
      </w:tr>
      <w:tr>
        <w:tc>
          <w:tcPr>
            <w:tcW w:type="dxa" w:w="4320"/>
          </w:tcPr>
          <w:p>
            <w:r>
              <w:t>PREVIDÊNCIA BRB</w:t>
            </w:r>
          </w:p>
        </w:tc>
        <w:tc>
          <w:tcPr>
            <w:tcW w:type="dxa" w:w="4320"/>
          </w:tcPr>
          <w:p>
            <w:r>
              <w:t>S2</w:t>
            </w:r>
          </w:p>
        </w:tc>
      </w:tr>
      <w:tr>
        <w:tc>
          <w:tcPr>
            <w:tcW w:type="dxa" w:w="4320"/>
          </w:tcPr>
          <w:p>
            <w:r>
              <w:t>PREVIDÊNCIA USIMINAS</w:t>
            </w:r>
          </w:p>
        </w:tc>
        <w:tc>
          <w:tcPr>
            <w:tcW w:type="dxa" w:w="4320"/>
          </w:tcPr>
          <w:p>
            <w:r>
              <w:t>S2</w:t>
            </w:r>
          </w:p>
        </w:tc>
      </w:tr>
      <w:tr>
        <w:tc>
          <w:tcPr>
            <w:tcW w:type="dxa" w:w="4320"/>
          </w:tcPr>
          <w:p>
            <w:r>
              <w:t>PREVIG</w:t>
            </w:r>
          </w:p>
        </w:tc>
        <w:tc>
          <w:tcPr>
            <w:tcW w:type="dxa" w:w="4320"/>
          </w:tcPr>
          <w:p>
            <w:r>
              <w:t>S2</w:t>
            </w:r>
          </w:p>
        </w:tc>
      </w:tr>
      <w:tr>
        <w:tc>
          <w:tcPr>
            <w:tcW w:type="dxa" w:w="4320"/>
          </w:tcPr>
          <w:p>
            <w:r>
              <w:t>PREVI-GM</w:t>
            </w:r>
          </w:p>
        </w:tc>
        <w:tc>
          <w:tcPr>
            <w:tcW w:type="dxa" w:w="4320"/>
          </w:tcPr>
          <w:p>
            <w:r>
              <w:t>S2</w:t>
            </w:r>
          </w:p>
        </w:tc>
      </w:tr>
      <w:tr>
        <w:tc>
          <w:tcPr>
            <w:tcW w:type="dxa" w:w="4320"/>
          </w:tcPr>
          <w:p>
            <w:r>
              <w:t>PREVINORTE</w:t>
            </w:r>
          </w:p>
        </w:tc>
        <w:tc>
          <w:tcPr>
            <w:tcW w:type="dxa" w:w="4320"/>
          </w:tcPr>
          <w:p>
            <w:r>
              <w:t>S2</w:t>
            </w:r>
          </w:p>
        </w:tc>
      </w:tr>
      <w:tr>
        <w:tc>
          <w:tcPr>
            <w:tcW w:type="dxa" w:w="4320"/>
          </w:tcPr>
          <w:p>
            <w:r>
              <w:t>PREVISC</w:t>
            </w:r>
          </w:p>
        </w:tc>
        <w:tc>
          <w:tcPr>
            <w:tcW w:type="dxa" w:w="4320"/>
          </w:tcPr>
          <w:p>
            <w:r>
              <w:t>S2</w:t>
            </w:r>
          </w:p>
        </w:tc>
      </w:tr>
      <w:tr>
        <w:tc>
          <w:tcPr>
            <w:tcW w:type="dxa" w:w="4320"/>
          </w:tcPr>
          <w:p>
            <w:r>
              <w:t>QUANTA</w:t>
            </w:r>
          </w:p>
        </w:tc>
        <w:tc>
          <w:tcPr>
            <w:tcW w:type="dxa" w:w="4320"/>
          </w:tcPr>
          <w:p>
            <w:r>
              <w:t>S2</w:t>
            </w:r>
          </w:p>
        </w:tc>
      </w:tr>
      <w:tr>
        <w:tc>
          <w:tcPr>
            <w:tcW w:type="dxa" w:w="4320"/>
          </w:tcPr>
          <w:p>
            <w:r>
              <w:t>REAL GRANDEZA</w:t>
            </w:r>
          </w:p>
        </w:tc>
        <w:tc>
          <w:tcPr>
            <w:tcW w:type="dxa" w:w="4320"/>
          </w:tcPr>
          <w:p>
            <w:r>
              <w:t>S2</w:t>
            </w:r>
          </w:p>
        </w:tc>
      </w:tr>
      <w:tr>
        <w:tc>
          <w:tcPr>
            <w:tcW w:type="dxa" w:w="4320"/>
          </w:tcPr>
          <w:p>
            <w:r>
              <w:t>REFER</w:t>
            </w:r>
          </w:p>
        </w:tc>
        <w:tc>
          <w:tcPr>
            <w:tcW w:type="dxa" w:w="4320"/>
          </w:tcPr>
          <w:p>
            <w:r>
              <w:t>S2</w:t>
            </w:r>
          </w:p>
        </w:tc>
      </w:tr>
      <w:tr>
        <w:tc>
          <w:tcPr>
            <w:tcW w:type="dxa" w:w="4320"/>
          </w:tcPr>
          <w:p>
            <w:r>
              <w:t>SABESPREV</w:t>
            </w:r>
          </w:p>
        </w:tc>
        <w:tc>
          <w:tcPr>
            <w:tcW w:type="dxa" w:w="4320"/>
          </w:tcPr>
          <w:p>
            <w:r>
              <w:t>S2</w:t>
            </w:r>
          </w:p>
        </w:tc>
      </w:tr>
      <w:tr>
        <w:tc>
          <w:tcPr>
            <w:tcW w:type="dxa" w:w="4320"/>
          </w:tcPr>
          <w:p>
            <w:r>
              <w:t>SANTANDERPREVI</w:t>
            </w:r>
          </w:p>
        </w:tc>
        <w:tc>
          <w:tcPr>
            <w:tcW w:type="dxa" w:w="4320"/>
          </w:tcPr>
          <w:p>
            <w:r>
              <w:t>S2</w:t>
            </w:r>
          </w:p>
        </w:tc>
      </w:tr>
      <w:tr>
        <w:tc>
          <w:tcPr>
            <w:tcW w:type="dxa" w:w="4320"/>
          </w:tcPr>
          <w:p>
            <w:r>
              <w:t>SAO BERNARDO</w:t>
            </w:r>
          </w:p>
        </w:tc>
        <w:tc>
          <w:tcPr>
            <w:tcW w:type="dxa" w:w="4320"/>
          </w:tcPr>
          <w:p>
            <w:r>
              <w:t>S2</w:t>
            </w:r>
          </w:p>
        </w:tc>
      </w:tr>
      <w:tr>
        <w:tc>
          <w:tcPr>
            <w:tcW w:type="dxa" w:w="4320"/>
          </w:tcPr>
          <w:p>
            <w:r>
              <w:t>SERPROS</w:t>
            </w:r>
          </w:p>
        </w:tc>
        <w:tc>
          <w:tcPr>
            <w:tcW w:type="dxa" w:w="4320"/>
          </w:tcPr>
          <w:p>
            <w:r>
              <w:t>S2</w:t>
            </w:r>
          </w:p>
        </w:tc>
      </w:tr>
      <w:tr>
        <w:tc>
          <w:tcPr>
            <w:tcW w:type="dxa" w:w="4320"/>
          </w:tcPr>
          <w:p>
            <w:r>
              <w:t>SICOOB PREVI</w:t>
            </w:r>
          </w:p>
        </w:tc>
        <w:tc>
          <w:tcPr>
            <w:tcW w:type="dxa" w:w="4320"/>
          </w:tcPr>
          <w:p>
            <w:r>
              <w:t>S2</w:t>
            </w:r>
          </w:p>
        </w:tc>
      </w:tr>
      <w:tr>
        <w:tc>
          <w:tcPr>
            <w:tcW w:type="dxa" w:w="4320"/>
          </w:tcPr>
          <w:p>
            <w:r>
              <w:t>SISTEL</w:t>
            </w:r>
          </w:p>
        </w:tc>
        <w:tc>
          <w:tcPr>
            <w:tcW w:type="dxa" w:w="4320"/>
          </w:tcPr>
          <w:p>
            <w:r>
              <w:t>S2</w:t>
            </w:r>
          </w:p>
        </w:tc>
      </w:tr>
      <w:tr>
        <w:tc>
          <w:tcPr>
            <w:tcW w:type="dxa" w:w="4320"/>
          </w:tcPr>
          <w:p>
            <w:r>
              <w:t>SP-PREVCOM</w:t>
            </w:r>
          </w:p>
        </w:tc>
        <w:tc>
          <w:tcPr>
            <w:tcW w:type="dxa" w:w="4320"/>
          </w:tcPr>
          <w:p>
            <w:r>
              <w:t>S2</w:t>
            </w:r>
          </w:p>
        </w:tc>
      </w:tr>
      <w:tr>
        <w:tc>
          <w:tcPr>
            <w:tcW w:type="dxa" w:w="4320"/>
          </w:tcPr>
          <w:p>
            <w:r>
              <w:t>TELOS</w:t>
            </w:r>
          </w:p>
        </w:tc>
        <w:tc>
          <w:tcPr>
            <w:tcW w:type="dxa" w:w="4320"/>
          </w:tcPr>
          <w:p>
            <w:r>
              <w:t>S2</w:t>
            </w:r>
          </w:p>
        </w:tc>
      </w:tr>
      <w:tr>
        <w:tc>
          <w:tcPr>
            <w:tcW w:type="dxa" w:w="4320"/>
          </w:tcPr>
          <w:p>
            <w:r>
              <w:t>UNILEVERPREV</w:t>
            </w:r>
          </w:p>
        </w:tc>
        <w:tc>
          <w:tcPr>
            <w:tcW w:type="dxa" w:w="4320"/>
          </w:tcPr>
          <w:p>
            <w:r>
              <w:t>S2</w:t>
            </w:r>
          </w:p>
        </w:tc>
      </w:tr>
      <w:tr>
        <w:tc>
          <w:tcPr>
            <w:tcW w:type="dxa" w:w="4320"/>
          </w:tcPr>
          <w:p>
            <w:r>
              <w:t>VEXTY</w:t>
            </w:r>
          </w:p>
        </w:tc>
        <w:tc>
          <w:tcPr>
            <w:tcW w:type="dxa" w:w="4320"/>
          </w:tcPr>
          <w:p>
            <w:r>
              <w:t>S2</w:t>
            </w:r>
          </w:p>
        </w:tc>
      </w:tr>
      <w:tr>
        <w:tc>
          <w:tcPr>
            <w:tcW w:type="dxa" w:w="4320"/>
          </w:tcPr>
          <w:p>
            <w:r>
              <w:t>VISÃO PREV</w:t>
            </w:r>
          </w:p>
        </w:tc>
        <w:tc>
          <w:tcPr>
            <w:tcW w:type="dxa" w:w="4320"/>
          </w:tcPr>
          <w:p>
            <w:r>
              <w:t>S2</w:t>
            </w:r>
          </w:p>
        </w:tc>
      </w:tr>
      <w:tr>
        <w:tc>
          <w:tcPr>
            <w:tcW w:type="dxa" w:w="4320"/>
          </w:tcPr>
          <w:p>
            <w:r>
              <w:t>VIVA</w:t>
            </w:r>
          </w:p>
        </w:tc>
        <w:tc>
          <w:tcPr>
            <w:tcW w:type="dxa" w:w="4320"/>
          </w:tcPr>
          <w:p>
            <w:r>
              <w:t>S2</w:t>
            </w:r>
          </w:p>
        </w:tc>
      </w:tr>
      <w:tr>
        <w:tc>
          <w:tcPr>
            <w:tcW w:type="dxa" w:w="4320"/>
          </w:tcPr>
          <w:p>
            <w:r>
              <w:t>VWPP</w:t>
            </w:r>
          </w:p>
        </w:tc>
        <w:tc>
          <w:tcPr>
            <w:tcW w:type="dxa" w:w="4320"/>
          </w:tcPr>
          <w:p>
            <w:r>
              <w:t>S2</w:t>
            </w:r>
          </w:p>
        </w:tc>
      </w:tr>
      <w:tr>
        <w:tc>
          <w:tcPr>
            <w:tcW w:type="dxa" w:w="4320"/>
          </w:tcPr>
          <w:p>
            <w:r>
              <w:t>WEG</w:t>
            </w:r>
          </w:p>
        </w:tc>
        <w:tc>
          <w:tcPr>
            <w:tcW w:type="dxa" w:w="4320"/>
          </w:tcPr>
          <w:p>
            <w:r>
              <w:t>S2</w:t>
            </w:r>
          </w:p>
        </w:tc>
      </w:tr>
      <w:tr>
        <w:tc>
          <w:tcPr>
            <w:tcW w:type="dxa" w:w="4320"/>
          </w:tcPr>
          <w:p>
            <w:r>
              <w:t>ACEPREV</w:t>
            </w:r>
          </w:p>
        </w:tc>
        <w:tc>
          <w:tcPr>
            <w:tcW w:type="dxa" w:w="4320"/>
          </w:tcPr>
          <w:p>
            <w:r>
              <w:t>S3</w:t>
            </w:r>
          </w:p>
        </w:tc>
      </w:tr>
      <w:tr>
        <w:tc>
          <w:tcPr>
            <w:tcW w:type="dxa" w:w="4320"/>
          </w:tcPr>
          <w:p>
            <w:r>
              <w:t>AGROS</w:t>
            </w:r>
          </w:p>
        </w:tc>
        <w:tc>
          <w:tcPr>
            <w:tcW w:type="dxa" w:w="4320"/>
          </w:tcPr>
          <w:p>
            <w:r>
              <w:t>S3</w:t>
            </w:r>
          </w:p>
        </w:tc>
      </w:tr>
      <w:tr>
        <w:tc>
          <w:tcPr>
            <w:tcW w:type="dxa" w:w="4320"/>
          </w:tcPr>
          <w:p>
            <w:r>
              <w:t>ALCOA PREVI</w:t>
            </w:r>
          </w:p>
        </w:tc>
        <w:tc>
          <w:tcPr>
            <w:tcW w:type="dxa" w:w="4320"/>
          </w:tcPr>
          <w:p>
            <w:r>
              <w:t>S3</w:t>
            </w:r>
          </w:p>
        </w:tc>
      </w:tr>
      <w:tr>
        <w:tc>
          <w:tcPr>
            <w:tcW w:type="dxa" w:w="4320"/>
          </w:tcPr>
          <w:p>
            <w:r>
              <w:t>ALPAPREV</w:t>
            </w:r>
          </w:p>
        </w:tc>
        <w:tc>
          <w:tcPr>
            <w:tcW w:type="dxa" w:w="4320"/>
          </w:tcPr>
          <w:p>
            <w:r>
              <w:t>S3</w:t>
            </w:r>
          </w:p>
        </w:tc>
      </w:tr>
      <w:tr>
        <w:tc>
          <w:tcPr>
            <w:tcW w:type="dxa" w:w="4320"/>
          </w:tcPr>
          <w:p>
            <w:r>
              <w:t>AVONPREV</w:t>
            </w:r>
          </w:p>
        </w:tc>
        <w:tc>
          <w:tcPr>
            <w:tcW w:type="dxa" w:w="4320"/>
          </w:tcPr>
          <w:p>
            <w:r>
              <w:t>S3</w:t>
            </w:r>
          </w:p>
        </w:tc>
      </w:tr>
      <w:tr>
        <w:tc>
          <w:tcPr>
            <w:tcW w:type="dxa" w:w="4320"/>
          </w:tcPr>
          <w:p>
            <w:r>
              <w:t>BANDEPREV</w:t>
            </w:r>
          </w:p>
        </w:tc>
        <w:tc>
          <w:tcPr>
            <w:tcW w:type="dxa" w:w="4320"/>
          </w:tcPr>
          <w:p>
            <w:r>
              <w:t>S3</w:t>
            </w:r>
          </w:p>
        </w:tc>
      </w:tr>
      <w:tr>
        <w:tc>
          <w:tcPr>
            <w:tcW w:type="dxa" w:w="4320"/>
          </w:tcPr>
          <w:p>
            <w:r>
              <w:t>BANESES</w:t>
            </w:r>
          </w:p>
        </w:tc>
        <w:tc>
          <w:tcPr>
            <w:tcW w:type="dxa" w:w="4320"/>
          </w:tcPr>
          <w:p>
            <w:r>
              <w:t>S3</w:t>
            </w:r>
          </w:p>
        </w:tc>
      </w:tr>
      <w:tr>
        <w:tc>
          <w:tcPr>
            <w:tcW w:type="dxa" w:w="4320"/>
          </w:tcPr>
          <w:p>
            <w:r>
              <w:t>BASES</w:t>
            </w:r>
          </w:p>
        </w:tc>
        <w:tc>
          <w:tcPr>
            <w:tcW w:type="dxa" w:w="4320"/>
          </w:tcPr>
          <w:p>
            <w:r>
              <w:t>S3</w:t>
            </w:r>
          </w:p>
        </w:tc>
      </w:tr>
      <w:tr>
        <w:tc>
          <w:tcPr>
            <w:tcW w:type="dxa" w:w="4320"/>
          </w:tcPr>
          <w:p>
            <w:r>
              <w:t>BASF PC</w:t>
            </w:r>
          </w:p>
        </w:tc>
        <w:tc>
          <w:tcPr>
            <w:tcW w:type="dxa" w:w="4320"/>
          </w:tcPr>
          <w:p>
            <w:r>
              <w:t>S3</w:t>
            </w:r>
          </w:p>
        </w:tc>
      </w:tr>
      <w:tr>
        <w:tc>
          <w:tcPr>
            <w:tcW w:type="dxa" w:w="4320"/>
          </w:tcPr>
          <w:p>
            <w:r>
              <w:t>BOTICARIO PREV</w:t>
            </w:r>
          </w:p>
        </w:tc>
        <w:tc>
          <w:tcPr>
            <w:tcW w:type="dxa" w:w="4320"/>
          </w:tcPr>
          <w:p>
            <w:r>
              <w:t>S3</w:t>
            </w:r>
          </w:p>
        </w:tc>
      </w:tr>
      <w:tr>
        <w:tc>
          <w:tcPr>
            <w:tcW w:type="dxa" w:w="4320"/>
          </w:tcPr>
          <w:p>
            <w:r>
              <w:t>BRASILETROS</w:t>
            </w:r>
          </w:p>
        </w:tc>
        <w:tc>
          <w:tcPr>
            <w:tcW w:type="dxa" w:w="4320"/>
          </w:tcPr>
          <w:p>
            <w:r>
              <w:t>S3</w:t>
            </w:r>
          </w:p>
        </w:tc>
      </w:tr>
      <w:tr>
        <w:tc>
          <w:tcPr>
            <w:tcW w:type="dxa" w:w="4320"/>
          </w:tcPr>
          <w:p>
            <w:r>
              <w:t>BUNGEPREV</w:t>
            </w:r>
          </w:p>
        </w:tc>
        <w:tc>
          <w:tcPr>
            <w:tcW w:type="dxa" w:w="4320"/>
          </w:tcPr>
          <w:p>
            <w:r>
              <w:t>S3</w:t>
            </w:r>
          </w:p>
        </w:tc>
      </w:tr>
      <w:tr>
        <w:tc>
          <w:tcPr>
            <w:tcW w:type="dxa" w:w="4320"/>
          </w:tcPr>
          <w:p>
            <w:r>
              <w:t>CAPESESP</w:t>
            </w:r>
          </w:p>
        </w:tc>
        <w:tc>
          <w:tcPr>
            <w:tcW w:type="dxa" w:w="4320"/>
          </w:tcPr>
          <w:p>
            <w:r>
              <w:t>S3</w:t>
            </w:r>
          </w:p>
        </w:tc>
      </w:tr>
      <w:tr>
        <w:tc>
          <w:tcPr>
            <w:tcW w:type="dxa" w:w="4320"/>
          </w:tcPr>
          <w:p>
            <w:r>
              <w:t>CARGILLPREV</w:t>
            </w:r>
          </w:p>
        </w:tc>
        <w:tc>
          <w:tcPr>
            <w:tcW w:type="dxa" w:w="4320"/>
          </w:tcPr>
          <w:p>
            <w:r>
              <w:t>S3</w:t>
            </w:r>
          </w:p>
        </w:tc>
      </w:tr>
      <w:tr>
        <w:tc>
          <w:tcPr>
            <w:tcW w:type="dxa" w:w="4320"/>
          </w:tcPr>
          <w:p>
            <w:r>
              <w:t>CARREFOURPREV</w:t>
            </w:r>
          </w:p>
        </w:tc>
        <w:tc>
          <w:tcPr>
            <w:tcW w:type="dxa" w:w="4320"/>
          </w:tcPr>
          <w:p>
            <w:r>
              <w:t>S3</w:t>
            </w:r>
          </w:p>
        </w:tc>
      </w:tr>
      <w:tr>
        <w:tc>
          <w:tcPr>
            <w:tcW w:type="dxa" w:w="4320"/>
          </w:tcPr>
          <w:p>
            <w:r>
              <w:t>CASFAM</w:t>
            </w:r>
          </w:p>
        </w:tc>
        <w:tc>
          <w:tcPr>
            <w:tcW w:type="dxa" w:w="4320"/>
          </w:tcPr>
          <w:p>
            <w:r>
              <w:t>S3</w:t>
            </w:r>
          </w:p>
        </w:tc>
      </w:tr>
      <w:tr>
        <w:tc>
          <w:tcPr>
            <w:tcW w:type="dxa" w:w="4320"/>
          </w:tcPr>
          <w:p>
            <w:r>
              <w:t>COMPESAPREV</w:t>
            </w:r>
          </w:p>
        </w:tc>
        <w:tc>
          <w:tcPr>
            <w:tcW w:type="dxa" w:w="4320"/>
          </w:tcPr>
          <w:p>
            <w:r>
              <w:t>S3</w:t>
            </w:r>
          </w:p>
        </w:tc>
      </w:tr>
      <w:tr>
        <w:tc>
          <w:tcPr>
            <w:tcW w:type="dxa" w:w="4320"/>
          </w:tcPr>
          <w:p>
            <w:r>
              <w:t>COMSHELL</w:t>
            </w:r>
          </w:p>
        </w:tc>
        <w:tc>
          <w:tcPr>
            <w:tcW w:type="dxa" w:w="4320"/>
          </w:tcPr>
          <w:p>
            <w:r>
              <w:t>S3</w:t>
            </w:r>
          </w:p>
        </w:tc>
      </w:tr>
      <w:tr>
        <w:tc>
          <w:tcPr>
            <w:tcW w:type="dxa" w:w="4320"/>
          </w:tcPr>
          <w:p>
            <w:r>
              <w:t>CP PREV</w:t>
            </w:r>
          </w:p>
        </w:tc>
        <w:tc>
          <w:tcPr>
            <w:tcW w:type="dxa" w:w="4320"/>
          </w:tcPr>
          <w:p>
            <w:r>
              <w:t>S3</w:t>
            </w:r>
          </w:p>
        </w:tc>
      </w:tr>
      <w:tr>
        <w:tc>
          <w:tcPr>
            <w:tcW w:type="dxa" w:w="4320"/>
          </w:tcPr>
          <w:p>
            <w:r>
              <w:t>CYAMPREV</w:t>
            </w:r>
          </w:p>
        </w:tc>
        <w:tc>
          <w:tcPr>
            <w:tcW w:type="dxa" w:w="4320"/>
          </w:tcPr>
          <w:p>
            <w:r>
              <w:t>S3</w:t>
            </w:r>
          </w:p>
        </w:tc>
      </w:tr>
      <w:tr>
        <w:tc>
          <w:tcPr>
            <w:tcW w:type="dxa" w:w="4320"/>
          </w:tcPr>
          <w:p>
            <w:r>
              <w:t>DESBAN</w:t>
            </w:r>
          </w:p>
        </w:tc>
        <w:tc>
          <w:tcPr>
            <w:tcW w:type="dxa" w:w="4320"/>
          </w:tcPr>
          <w:p>
            <w:r>
              <w:t>S3</w:t>
            </w:r>
          </w:p>
        </w:tc>
      </w:tr>
      <w:tr>
        <w:tc>
          <w:tcPr>
            <w:tcW w:type="dxa" w:w="4320"/>
          </w:tcPr>
          <w:p>
            <w:r>
              <w:t>ECOS</w:t>
            </w:r>
          </w:p>
        </w:tc>
        <w:tc>
          <w:tcPr>
            <w:tcW w:type="dxa" w:w="4320"/>
          </w:tcPr>
          <w:p>
            <w:r>
              <w:t>S3</w:t>
            </w:r>
          </w:p>
        </w:tc>
      </w:tr>
      <w:tr>
        <w:tc>
          <w:tcPr>
            <w:tcW w:type="dxa" w:w="4320"/>
          </w:tcPr>
          <w:p>
            <w:r>
              <w:t>E-INVEST</w:t>
            </w:r>
          </w:p>
        </w:tc>
        <w:tc>
          <w:tcPr>
            <w:tcW w:type="dxa" w:w="4320"/>
          </w:tcPr>
          <w:p>
            <w:r>
              <w:t>S3</w:t>
            </w:r>
          </w:p>
        </w:tc>
      </w:tr>
      <w:tr>
        <w:tc>
          <w:tcPr>
            <w:tcW w:type="dxa" w:w="4320"/>
          </w:tcPr>
          <w:p>
            <w:r>
              <w:t>ENERPREV</w:t>
            </w:r>
          </w:p>
        </w:tc>
        <w:tc>
          <w:tcPr>
            <w:tcW w:type="dxa" w:w="4320"/>
          </w:tcPr>
          <w:p>
            <w:r>
              <w:t>S3</w:t>
            </w:r>
          </w:p>
        </w:tc>
      </w:tr>
      <w:tr>
        <w:tc>
          <w:tcPr>
            <w:tcW w:type="dxa" w:w="4320"/>
          </w:tcPr>
          <w:p>
            <w:r>
              <w:t>FABASA</w:t>
            </w:r>
          </w:p>
        </w:tc>
        <w:tc>
          <w:tcPr>
            <w:tcW w:type="dxa" w:w="4320"/>
          </w:tcPr>
          <w:p>
            <w:r>
              <w:t>S3</w:t>
            </w:r>
          </w:p>
        </w:tc>
      </w:tr>
      <w:tr>
        <w:tc>
          <w:tcPr>
            <w:tcW w:type="dxa" w:w="4320"/>
          </w:tcPr>
          <w:p>
            <w:r>
              <w:t>FAELCE</w:t>
            </w:r>
          </w:p>
        </w:tc>
        <w:tc>
          <w:tcPr>
            <w:tcW w:type="dxa" w:w="4320"/>
          </w:tcPr>
          <w:p>
            <w:r>
              <w:t>S3</w:t>
            </w:r>
          </w:p>
        </w:tc>
      </w:tr>
      <w:tr>
        <w:tc>
          <w:tcPr>
            <w:tcW w:type="dxa" w:w="4320"/>
          </w:tcPr>
          <w:p>
            <w:r>
              <w:t>FAPERS</w:t>
            </w:r>
          </w:p>
        </w:tc>
        <w:tc>
          <w:tcPr>
            <w:tcW w:type="dxa" w:w="4320"/>
          </w:tcPr>
          <w:p>
            <w:r>
              <w:t>S3</w:t>
            </w:r>
          </w:p>
        </w:tc>
      </w:tr>
      <w:tr>
        <w:tc>
          <w:tcPr>
            <w:tcW w:type="dxa" w:w="4320"/>
          </w:tcPr>
          <w:p>
            <w:r>
              <w:t>FASC</w:t>
            </w:r>
          </w:p>
        </w:tc>
        <w:tc>
          <w:tcPr>
            <w:tcW w:type="dxa" w:w="4320"/>
          </w:tcPr>
          <w:p>
            <w:r>
              <w:t>S3</w:t>
            </w:r>
          </w:p>
        </w:tc>
      </w:tr>
      <w:tr>
        <w:tc>
          <w:tcPr>
            <w:tcW w:type="dxa" w:w="4320"/>
          </w:tcPr>
          <w:p>
            <w:r>
              <w:t>FGV-PREVI</w:t>
            </w:r>
          </w:p>
        </w:tc>
        <w:tc>
          <w:tcPr>
            <w:tcW w:type="dxa" w:w="4320"/>
          </w:tcPr>
          <w:p>
            <w:r>
              <w:t>S3</w:t>
            </w:r>
          </w:p>
        </w:tc>
      </w:tr>
      <w:tr>
        <w:tc>
          <w:tcPr>
            <w:tcW w:type="dxa" w:w="4320"/>
          </w:tcPr>
          <w:p>
            <w:r>
              <w:t>FIPECQ</w:t>
            </w:r>
          </w:p>
        </w:tc>
        <w:tc>
          <w:tcPr>
            <w:tcW w:type="dxa" w:w="4320"/>
          </w:tcPr>
          <w:p>
            <w:r>
              <w:t>S3</w:t>
            </w:r>
          </w:p>
        </w:tc>
      </w:tr>
      <w:tr>
        <w:tc>
          <w:tcPr>
            <w:tcW w:type="dxa" w:w="4320"/>
          </w:tcPr>
          <w:p>
            <w:r>
              <w:t>FUNDACAO CORSAN</w:t>
            </w:r>
          </w:p>
        </w:tc>
        <w:tc>
          <w:tcPr>
            <w:tcW w:type="dxa" w:w="4320"/>
          </w:tcPr>
          <w:p>
            <w:r>
              <w:t>S3</w:t>
            </w:r>
          </w:p>
        </w:tc>
      </w:tr>
      <w:tr>
        <w:tc>
          <w:tcPr>
            <w:tcW w:type="dxa" w:w="4320"/>
          </w:tcPr>
          <w:p>
            <w:r>
              <w:t>FUNDAMBRAS</w:t>
            </w:r>
          </w:p>
        </w:tc>
        <w:tc>
          <w:tcPr>
            <w:tcW w:type="dxa" w:w="4320"/>
          </w:tcPr>
          <w:p>
            <w:r>
              <w:t>S3</w:t>
            </w:r>
          </w:p>
        </w:tc>
      </w:tr>
      <w:tr>
        <w:tc>
          <w:tcPr>
            <w:tcW w:type="dxa" w:w="4320"/>
          </w:tcPr>
          <w:p>
            <w:r>
              <w:t>FUNDIAGUA</w:t>
            </w:r>
          </w:p>
        </w:tc>
        <w:tc>
          <w:tcPr>
            <w:tcW w:type="dxa" w:w="4320"/>
          </w:tcPr>
          <w:p>
            <w:r>
              <w:t>S3</w:t>
            </w:r>
          </w:p>
        </w:tc>
      </w:tr>
      <w:tr>
        <w:tc>
          <w:tcPr>
            <w:tcW w:type="dxa" w:w="4320"/>
          </w:tcPr>
          <w:p>
            <w:r>
              <w:t>FUNSEJEM</w:t>
            </w:r>
          </w:p>
        </w:tc>
        <w:tc>
          <w:tcPr>
            <w:tcW w:type="dxa" w:w="4320"/>
          </w:tcPr>
          <w:p>
            <w:r>
              <w:t>S3</w:t>
            </w:r>
          </w:p>
        </w:tc>
      </w:tr>
    </w:tbl>
    <w:p/>
    <w:p>
      <w:r>
        <w:t>Sigla EFPC</w:t>
      </w:r>
    </w:p>
    <w:p>
      <w:r>
        <w:t>Segmento</w:t>
      </w:r>
    </w:p>
    <w:p>
      <w:r>
        <w:t>BANESPREV</w:t>
      </w:r>
    </w:p>
    <w:p>
      <w:r>
        <w:t>S1</w:t>
      </w:r>
    </w:p>
    <w:p>
      <w:r>
        <w:t>FORLUZ</w:t>
      </w:r>
    </w:p>
    <w:p>
      <w:r>
        <w:t>S1</w:t>
      </w:r>
    </w:p>
    <w:p>
      <w:r>
        <w:t>FUNCEF</w:t>
      </w:r>
    </w:p>
    <w:p>
      <w:r>
        <w:t>S1</w:t>
      </w:r>
    </w:p>
    <w:p>
      <w:r>
        <w:t>FUNCESP (VIVEST)</w:t>
      </w:r>
    </w:p>
    <w:p>
      <w:r>
        <w:t>S1</w:t>
      </w:r>
    </w:p>
    <w:p>
      <w:r>
        <w:t>ITAU UNIBANCO</w:t>
      </w:r>
    </w:p>
    <w:p>
      <w:r>
        <w:t>S1</w:t>
      </w:r>
    </w:p>
    <w:p>
      <w:r>
        <w:t>PETROS</w:t>
      </w:r>
    </w:p>
    <w:p>
      <w:r>
        <w:t>S1</w:t>
      </w:r>
    </w:p>
    <w:p>
      <w:r>
        <w:t>POSTALIS</w:t>
      </w:r>
    </w:p>
    <w:p>
      <w:r>
        <w:t>S1</w:t>
      </w:r>
    </w:p>
    <w:p>
      <w:r>
        <w:t>PREVI/BB</w:t>
      </w:r>
    </w:p>
    <w:p>
      <w:r>
        <w:t>S1</w:t>
      </w:r>
    </w:p>
    <w:p>
      <w:r>
        <w:t>VALIA</w:t>
      </w:r>
    </w:p>
    <w:p>
      <w:r>
        <w:t>S1</w:t>
      </w:r>
    </w:p>
    <w:p>
      <w:r>
        <w:t>BANRISUL/FBSS</w:t>
      </w:r>
    </w:p>
    <w:p>
      <w:r>
        <w:t>S2</w:t>
      </w:r>
    </w:p>
    <w:p>
      <w:r>
        <w:t>BB PREVIDENCIA</w:t>
      </w:r>
    </w:p>
    <w:p>
      <w:r>
        <w:t>S2</w:t>
      </w:r>
    </w:p>
    <w:p>
      <w:r>
        <w:t>BRASLIGHT</w:t>
      </w:r>
    </w:p>
    <w:p>
      <w:r>
        <w:t>S2</w:t>
      </w:r>
    </w:p>
    <w:p>
      <w:r>
        <w:t>BRF PREVIDÊNCIA</w:t>
      </w:r>
    </w:p>
    <w:p>
      <w:r>
        <w:t>S2</w:t>
      </w:r>
    </w:p>
    <w:p>
      <w:r>
        <w:t>CAPEF</w:t>
      </w:r>
    </w:p>
    <w:p>
      <w:r>
        <w:t>S2</w:t>
      </w:r>
    </w:p>
    <w:p>
      <w:r>
        <w:t>CBS</w:t>
      </w:r>
    </w:p>
    <w:p>
      <w:r>
        <w:t>S2</w:t>
      </w:r>
    </w:p>
    <w:p>
      <w:r>
        <w:t>CELOS</w:t>
      </w:r>
    </w:p>
    <w:p>
      <w:r>
        <w:t>S2</w:t>
      </w:r>
    </w:p>
    <w:p>
      <w:r>
        <w:t>CENTRUS</w:t>
      </w:r>
    </w:p>
    <w:p>
      <w:r>
        <w:t>S2</w:t>
      </w:r>
    </w:p>
    <w:p>
      <w:r>
        <w:t>CERES</w:t>
      </w:r>
    </w:p>
    <w:p>
      <w:r>
        <w:t>S2</w:t>
      </w:r>
    </w:p>
    <w:p>
      <w:r>
        <w:t>CIBRIUS</w:t>
      </w:r>
    </w:p>
    <w:p>
      <w:r>
        <w:t>S2</w:t>
      </w:r>
    </w:p>
    <w:p>
      <w:r>
        <w:t>CITIPREVI</w:t>
      </w:r>
    </w:p>
    <w:p>
      <w:r>
        <w:t>S2</w:t>
      </w:r>
    </w:p>
    <w:p>
      <w:r>
        <w:t>ECONOMUS</w:t>
      </w:r>
    </w:p>
    <w:p>
      <w:r>
        <w:t>S2</w:t>
      </w:r>
    </w:p>
    <w:p>
      <w:r>
        <w:t>ELETROS</w:t>
      </w:r>
    </w:p>
    <w:p>
      <w:r>
        <w:t>S2</w:t>
      </w:r>
    </w:p>
    <w:p>
      <w:r>
        <w:t>ELOS</w:t>
      </w:r>
    </w:p>
    <w:p>
      <w:r>
        <w:t>S2</w:t>
      </w:r>
    </w:p>
    <w:p>
      <w:r>
        <w:t>EMBRAER PREV</w:t>
      </w:r>
    </w:p>
    <w:p>
      <w:r>
        <w:t>S2</w:t>
      </w:r>
    </w:p>
    <w:p>
      <w:r>
        <w:t>ENERGISAPREV</w:t>
      </w:r>
    </w:p>
    <w:p>
      <w:r>
        <w:t>S2</w:t>
      </w:r>
    </w:p>
    <w:p>
      <w:r>
        <w:t>EQTPREV</w:t>
      </w:r>
    </w:p>
    <w:p>
      <w:r>
        <w:t>S2</w:t>
      </w:r>
    </w:p>
    <w:p>
      <w:r>
        <w:t>FACHESF</w:t>
      </w:r>
    </w:p>
    <w:p>
      <w:r>
        <w:t>S2</w:t>
      </w:r>
    </w:p>
    <w:p>
      <w:r>
        <w:t>FAMILIA PREVIDENCIA</w:t>
      </w:r>
    </w:p>
    <w:p>
      <w:r>
        <w:t>S2</w:t>
      </w:r>
    </w:p>
    <w:p>
      <w:r>
        <w:t>FAPES</w:t>
      </w:r>
    </w:p>
    <w:p>
      <w:r>
        <w:t>S2</w:t>
      </w:r>
    </w:p>
    <w:p>
      <w:r>
        <w:t>FATL</w:t>
      </w:r>
    </w:p>
    <w:p>
      <w:r>
        <w:t>S2</w:t>
      </w:r>
    </w:p>
    <w:p>
      <w:r>
        <w:t>FIBRA</w:t>
      </w:r>
    </w:p>
    <w:p>
      <w:r>
        <w:t>S2</w:t>
      </w:r>
    </w:p>
    <w:p>
      <w:r>
        <w:t>FUNBEP</w:t>
      </w:r>
    </w:p>
    <w:p>
      <w:r>
        <w:t>S2</w:t>
      </w:r>
    </w:p>
    <w:p>
      <w:r>
        <w:t>FUNDACAO COPEL</w:t>
      </w:r>
    </w:p>
    <w:p>
      <w:r>
        <w:t>S2</w:t>
      </w:r>
    </w:p>
    <w:p>
      <w:r>
        <w:t>FUNDAÇÃO LIBERTAS</w:t>
      </w:r>
    </w:p>
    <w:p>
      <w:r>
        <w:t>S2</w:t>
      </w:r>
    </w:p>
    <w:p>
      <w:r>
        <w:t>FUNEPP</w:t>
      </w:r>
    </w:p>
    <w:p>
      <w:r>
        <w:t>S2</w:t>
      </w:r>
    </w:p>
    <w:p>
      <w:r>
        <w:t>FUNPRESP-EXE</w:t>
      </w:r>
    </w:p>
    <w:p>
      <w:r>
        <w:t>S2</w:t>
      </w:r>
    </w:p>
    <w:p>
      <w:r>
        <w:t>FUNPRESP-JUD</w:t>
      </w:r>
    </w:p>
    <w:p>
      <w:r>
        <w:t>S2</w:t>
      </w:r>
    </w:p>
    <w:p>
      <w:r>
        <w:t>FUNSSEST</w:t>
      </w:r>
    </w:p>
    <w:p>
      <w:r>
        <w:t>S2</w:t>
      </w:r>
    </w:p>
    <w:p>
      <w:r>
        <w:t>FUSAN</w:t>
      </w:r>
    </w:p>
    <w:p>
      <w:r>
        <w:t>S2</w:t>
      </w:r>
    </w:p>
    <w:p>
      <w:r>
        <w:t>FUSESC</w:t>
      </w:r>
    </w:p>
    <w:p>
      <w:r>
        <w:t>S2</w:t>
      </w:r>
    </w:p>
    <w:p>
      <w:r>
        <w:t>GEBSA-PREV</w:t>
      </w:r>
    </w:p>
    <w:p>
      <w:r>
        <w:t>S2</w:t>
      </w:r>
    </w:p>
    <w:p>
      <w:r>
        <w:t>GERDAU</w:t>
      </w:r>
    </w:p>
    <w:p>
      <w:r>
        <w:t>S2</w:t>
      </w:r>
    </w:p>
    <w:p>
      <w:r>
        <w:t>IBM</w:t>
      </w:r>
    </w:p>
    <w:p>
      <w:r>
        <w:t>S2</w:t>
      </w:r>
    </w:p>
    <w:p>
      <w:r>
        <w:t>ICATUFMP</w:t>
      </w:r>
    </w:p>
    <w:p>
      <w:r>
        <w:t>S2</w:t>
      </w:r>
    </w:p>
    <w:p>
      <w:r>
        <w:t>IFM</w:t>
      </w:r>
    </w:p>
    <w:p>
      <w:r>
        <w:t>S2</w:t>
      </w:r>
    </w:p>
    <w:p>
      <w:r>
        <w:t>INFRAPREV</w:t>
      </w:r>
    </w:p>
    <w:p>
      <w:r>
        <w:t>S2</w:t>
      </w:r>
    </w:p>
    <w:p>
      <w:r>
        <w:t>INSTITUTO AMBEV</w:t>
      </w:r>
    </w:p>
    <w:p>
      <w:r>
        <w:t>S2</w:t>
      </w:r>
    </w:p>
    <w:p>
      <w:r>
        <w:t>ITAUSAINDL</w:t>
      </w:r>
    </w:p>
    <w:p>
      <w:r>
        <w:t>S2</w:t>
      </w:r>
    </w:p>
    <w:p>
      <w:r>
        <w:t>METRUS</w:t>
      </w:r>
    </w:p>
    <w:p>
      <w:r>
        <w:t>S2</w:t>
      </w:r>
    </w:p>
    <w:p>
      <w:r>
        <w:t>MULTIBRA</w:t>
      </w:r>
    </w:p>
    <w:p>
      <w:r>
        <w:t>S2</w:t>
      </w:r>
    </w:p>
    <w:p>
      <w:r>
        <w:t>MULTICOOP</w:t>
      </w:r>
    </w:p>
    <w:p>
      <w:r>
        <w:t>S2</w:t>
      </w:r>
    </w:p>
    <w:p>
      <w:r>
        <w:t>MULTIPENSIONS</w:t>
      </w:r>
    </w:p>
    <w:p>
      <w:r>
        <w:t>S2</w:t>
      </w:r>
    </w:p>
    <w:p>
      <w:r>
        <w:t>MULTIPLA</w:t>
      </w:r>
    </w:p>
    <w:p>
      <w:r>
        <w:t>S2</w:t>
      </w:r>
    </w:p>
    <w:p>
      <w:r>
        <w:t>MULTIPREV</w:t>
      </w:r>
    </w:p>
    <w:p>
      <w:r>
        <w:t>S2</w:t>
      </w:r>
    </w:p>
    <w:p>
      <w:r>
        <w:t>NÉOS</w:t>
      </w:r>
    </w:p>
    <w:p>
      <w:r>
        <w:t>S2</w:t>
      </w:r>
    </w:p>
    <w:p>
      <w:r>
        <w:t>NUCLEOS</w:t>
      </w:r>
    </w:p>
    <w:p>
      <w:r>
        <w:t>S2</w:t>
      </w:r>
    </w:p>
    <w:p>
      <w:r>
        <w:t>PRECE</w:t>
      </w:r>
    </w:p>
    <w:p>
      <w:r>
        <w:t>S2</w:t>
      </w:r>
    </w:p>
    <w:p>
      <w:r>
        <w:t>PREVIBAYER</w:t>
      </w:r>
    </w:p>
    <w:p>
      <w:r>
        <w:t>S2</w:t>
      </w:r>
    </w:p>
    <w:p>
      <w:r>
        <w:t>PREVIDÊNCIA BRB</w:t>
      </w:r>
    </w:p>
    <w:p>
      <w:r>
        <w:t>S2</w:t>
      </w:r>
    </w:p>
    <w:p>
      <w:r>
        <w:t>PREVIDÊNCIA USIMINAS</w:t>
      </w:r>
    </w:p>
    <w:p>
      <w:r>
        <w:t>S2</w:t>
      </w:r>
    </w:p>
    <w:p>
      <w:r>
        <w:t>PREVIG</w:t>
      </w:r>
    </w:p>
    <w:p>
      <w:r>
        <w:t>S2</w:t>
      </w:r>
    </w:p>
    <w:p>
      <w:r>
        <w:t>PREVI-GM</w:t>
      </w:r>
    </w:p>
    <w:p>
      <w:r>
        <w:t>S2</w:t>
      </w:r>
    </w:p>
    <w:p>
      <w:r>
        <w:t>PREVINORTE</w:t>
      </w:r>
    </w:p>
    <w:p>
      <w:r>
        <w:t>S2</w:t>
      </w:r>
    </w:p>
    <w:p>
      <w:r>
        <w:t>PREVISC</w:t>
      </w:r>
    </w:p>
    <w:p>
      <w:r>
        <w:t>S2</w:t>
      </w:r>
    </w:p>
    <w:p>
      <w:r>
        <w:t>QUANTA</w:t>
      </w:r>
    </w:p>
    <w:p>
      <w:r>
        <w:t>S2</w:t>
      </w:r>
    </w:p>
    <w:p>
      <w:r>
        <w:t>REAL GRANDEZA</w:t>
      </w:r>
    </w:p>
    <w:p>
      <w:r>
        <w:t>S2</w:t>
      </w:r>
    </w:p>
    <w:p>
      <w:r>
        <w:t>REFER</w:t>
      </w:r>
    </w:p>
    <w:p>
      <w:r>
        <w:t>S2</w:t>
      </w:r>
    </w:p>
    <w:p>
      <w:r>
        <w:t>SABESPREV</w:t>
      </w:r>
    </w:p>
    <w:p>
      <w:r>
        <w:t>S2</w:t>
      </w:r>
    </w:p>
    <w:p>
      <w:r>
        <w:t>SANTANDERPREVI</w:t>
      </w:r>
    </w:p>
    <w:p>
      <w:r>
        <w:t>S2</w:t>
      </w:r>
    </w:p>
    <w:p>
      <w:r>
        <w:t>SAO BERNARDO</w:t>
      </w:r>
    </w:p>
    <w:p>
      <w:r>
        <w:t>S2</w:t>
      </w:r>
    </w:p>
    <w:p>
      <w:r>
        <w:t>SERPROS</w:t>
      </w:r>
    </w:p>
    <w:p>
      <w:r>
        <w:t>S2</w:t>
      </w:r>
    </w:p>
    <w:p>
      <w:r>
        <w:t>SICOOB PREVI</w:t>
      </w:r>
    </w:p>
    <w:p>
      <w:r>
        <w:t>S2</w:t>
      </w:r>
    </w:p>
    <w:p>
      <w:r>
        <w:t>SISTEL</w:t>
      </w:r>
    </w:p>
    <w:p>
      <w:r>
        <w:t>S2</w:t>
      </w:r>
    </w:p>
    <w:p>
      <w:r>
        <w:t>SP-PREVCOM</w:t>
      </w:r>
    </w:p>
    <w:p>
      <w:r>
        <w:t>S2</w:t>
      </w:r>
    </w:p>
    <w:p>
      <w:r>
        <w:t>TELOS</w:t>
      </w:r>
    </w:p>
    <w:p>
      <w:r>
        <w:t>S2</w:t>
      </w:r>
    </w:p>
    <w:p>
      <w:r>
        <w:t>UNILEVERPREV</w:t>
      </w:r>
    </w:p>
    <w:p>
      <w:r>
        <w:t>S2</w:t>
      </w:r>
    </w:p>
    <w:p>
      <w:r>
        <w:t>VEXTY</w:t>
      </w:r>
    </w:p>
    <w:p>
      <w:r>
        <w:t>S2</w:t>
      </w:r>
    </w:p>
    <w:p>
      <w:r>
        <w:t>VISÃO PREV</w:t>
      </w:r>
    </w:p>
    <w:p>
      <w:r>
        <w:t>S2</w:t>
      </w:r>
    </w:p>
    <w:p>
      <w:r>
        <w:t>VIVA</w:t>
      </w:r>
    </w:p>
    <w:p>
      <w:r>
        <w:t>S2</w:t>
      </w:r>
    </w:p>
    <w:p>
      <w:r>
        <w:t>VWPP</w:t>
      </w:r>
    </w:p>
    <w:p>
      <w:r>
        <w:t>S2</w:t>
      </w:r>
    </w:p>
    <w:p>
      <w:r>
        <w:t>WEG</w:t>
      </w:r>
    </w:p>
    <w:p>
      <w:r>
        <w:t>S2</w:t>
      </w:r>
    </w:p>
    <w:p>
      <w:r>
        <w:t>ACEPREV</w:t>
      </w:r>
    </w:p>
    <w:p>
      <w:r>
        <w:t>S3</w:t>
      </w:r>
    </w:p>
    <w:p>
      <w:r>
        <w:t>AGROS</w:t>
      </w:r>
    </w:p>
    <w:p>
      <w:r>
        <w:t>S3</w:t>
      </w:r>
    </w:p>
    <w:p>
      <w:r>
        <w:t>ALCOA PREVI</w:t>
      </w:r>
    </w:p>
    <w:p>
      <w:r>
        <w:t>S3</w:t>
      </w:r>
    </w:p>
    <w:p>
      <w:r>
        <w:t>ALPAPREV</w:t>
      </w:r>
    </w:p>
    <w:p>
      <w:r>
        <w:t>S3</w:t>
      </w:r>
    </w:p>
    <w:p>
      <w:r>
        <w:t>AVONPREV</w:t>
      </w:r>
    </w:p>
    <w:p>
      <w:r>
        <w:t>S3</w:t>
      </w:r>
    </w:p>
    <w:p>
      <w:r>
        <w:t>BANDEPREV</w:t>
      </w:r>
    </w:p>
    <w:p>
      <w:r>
        <w:t>S3</w:t>
      </w:r>
    </w:p>
    <w:p>
      <w:r>
        <w:t>BANESES</w:t>
      </w:r>
    </w:p>
    <w:p>
      <w:r>
        <w:t>S3</w:t>
      </w:r>
    </w:p>
    <w:p>
      <w:r>
        <w:t>BASES</w:t>
      </w:r>
    </w:p>
    <w:p>
      <w:r>
        <w:t>S3</w:t>
      </w:r>
    </w:p>
    <w:p>
      <w:r>
        <w:t>BASF PC</w:t>
      </w:r>
    </w:p>
    <w:p>
      <w:r>
        <w:t>S3</w:t>
      </w:r>
    </w:p>
    <w:p>
      <w:r>
        <w:t>BOTICARIO PREV</w:t>
      </w:r>
    </w:p>
    <w:p>
      <w:r>
        <w:t>S3</w:t>
      </w:r>
    </w:p>
    <w:p>
      <w:r>
        <w:t>BRASILETROS</w:t>
      </w:r>
    </w:p>
    <w:p>
      <w:r>
        <w:t>S3</w:t>
      </w:r>
    </w:p>
    <w:p>
      <w:r>
        <w:t>BUNGEPREV</w:t>
      </w:r>
    </w:p>
    <w:p>
      <w:r>
        <w:t>S3</w:t>
      </w:r>
    </w:p>
    <w:p>
      <w:r>
        <w:t>CAPESESP</w:t>
      </w:r>
    </w:p>
    <w:p>
      <w:r>
        <w:t>S3</w:t>
      </w:r>
    </w:p>
    <w:p>
      <w:r>
        <w:t>CARGILLPREV</w:t>
      </w:r>
    </w:p>
    <w:p>
      <w:r>
        <w:t>S3</w:t>
      </w:r>
    </w:p>
    <w:p>
      <w:r>
        <w:t>CARREFOURPREV</w:t>
      </w:r>
    </w:p>
    <w:p>
      <w:r>
        <w:t>S3</w:t>
      </w:r>
    </w:p>
    <w:p>
      <w:r>
        <w:t>CASFAM</w:t>
      </w:r>
    </w:p>
    <w:p>
      <w:r>
        <w:t>S3</w:t>
      </w:r>
    </w:p>
    <w:p>
      <w:r>
        <w:t>COMPESAPREV</w:t>
      </w:r>
    </w:p>
    <w:p>
      <w:r>
        <w:t>S3</w:t>
      </w:r>
    </w:p>
    <w:p>
      <w:r>
        <w:t>COMSHELL</w:t>
      </w:r>
    </w:p>
    <w:p>
      <w:r>
        <w:t>S3</w:t>
      </w:r>
    </w:p>
    <w:p>
      <w:r>
        <w:t>CP PREV</w:t>
      </w:r>
    </w:p>
    <w:p>
      <w:r>
        <w:t>S3</w:t>
      </w:r>
    </w:p>
    <w:p>
      <w:r>
        <w:t>CYAMPREV</w:t>
      </w:r>
    </w:p>
    <w:p>
      <w:r>
        <w:t>S3</w:t>
      </w:r>
    </w:p>
    <w:p>
      <w:r>
        <w:t>DESBAN</w:t>
      </w:r>
    </w:p>
    <w:p>
      <w:r>
        <w:t>S3</w:t>
      </w:r>
    </w:p>
    <w:p>
      <w:r>
        <w:t>ECOS</w:t>
      </w:r>
    </w:p>
    <w:p>
      <w:r>
        <w:t>S3</w:t>
      </w:r>
    </w:p>
    <w:p>
      <w:r>
        <w:t>E-INVEST</w:t>
      </w:r>
    </w:p>
    <w:p>
      <w:r>
        <w:t>S3</w:t>
      </w:r>
    </w:p>
    <w:p>
      <w:r>
        <w:t>ENERPREV</w:t>
      </w:r>
    </w:p>
    <w:p>
      <w:r>
        <w:t>S3</w:t>
      </w:r>
    </w:p>
    <w:p>
      <w:r>
        <w:t>FABASA</w:t>
      </w:r>
    </w:p>
    <w:p>
      <w:r>
        <w:t>S3</w:t>
      </w:r>
    </w:p>
    <w:p>
      <w:r>
        <w:t>FAELCE</w:t>
      </w:r>
    </w:p>
    <w:p>
      <w:r>
        <w:t>S3</w:t>
      </w:r>
    </w:p>
    <w:p>
      <w:r>
        <w:t>FAPERS</w:t>
      </w:r>
    </w:p>
    <w:p>
      <w:r>
        <w:t>S3</w:t>
      </w:r>
    </w:p>
    <w:p>
      <w:r>
        <w:t>FASC</w:t>
      </w:r>
    </w:p>
    <w:p>
      <w:r>
        <w:t>S3</w:t>
      </w:r>
    </w:p>
    <w:p>
      <w:r>
        <w:t>FGV-PREVI</w:t>
      </w:r>
    </w:p>
    <w:p>
      <w:r>
        <w:t>S3</w:t>
      </w:r>
    </w:p>
    <w:p>
      <w:r>
        <w:t>FIPECQ</w:t>
      </w:r>
    </w:p>
    <w:p>
      <w:r>
        <w:t>S3</w:t>
      </w:r>
    </w:p>
    <w:p>
      <w:r>
        <w:t>FUNDACAO CORSAN</w:t>
      </w:r>
    </w:p>
    <w:p>
      <w:r>
        <w:t>S3</w:t>
      </w:r>
    </w:p>
    <w:p>
      <w:r>
        <w:t>FUNDAMBRAS</w:t>
      </w:r>
    </w:p>
    <w:p>
      <w:r>
        <w:t>S3</w:t>
      </w:r>
    </w:p>
    <w:p>
      <w:r>
        <w:t>FUNDIAGUA</w:t>
      </w:r>
    </w:p>
    <w:p>
      <w:r>
        <w:t>S3</w:t>
      </w:r>
    </w:p>
    <w:p>
      <w:r>
        <w:t>FUNSEJEM</w:t>
      </w:r>
    </w:p>
    <w:p>
      <w:r>
        <w:t>S3</w:t>
      </w:r>
    </w:p>
    <w:tbl>
      <w:tblPr>
        <w:tblW w:type="auto" w:w="0"/>
        <w:tblLook w:firstColumn="1" w:firstRow="1" w:lastColumn="0" w:lastRow="0" w:noHBand="0" w:noVBand="1" w:val="04A0"/>
      </w:tblPr>
      <w:tblGrid>
        <w:gridCol w:w="4320"/>
        <w:gridCol w:w="4320"/>
      </w:tblGrid>
      <w:tr>
        <w:tc>
          <w:tcPr>
            <w:tcW w:type="dxa" w:w="4320"/>
          </w:tcPr>
          <w:p>
            <w:r>
              <w:t>FUTURA PREV</w:t>
            </w:r>
          </w:p>
        </w:tc>
        <w:tc>
          <w:tcPr>
            <w:tcW w:type="dxa" w:w="4320"/>
          </w:tcPr>
          <w:p>
            <w:r>
              <w:t>S3</w:t>
            </w:r>
          </w:p>
        </w:tc>
      </w:tr>
      <w:tr>
        <w:tc>
          <w:tcPr>
            <w:tcW w:type="dxa" w:w="4320"/>
          </w:tcPr>
          <w:p>
            <w:r>
              <w:t>FUTURAMAIS</w:t>
            </w:r>
          </w:p>
        </w:tc>
        <w:tc>
          <w:tcPr>
            <w:tcW w:type="dxa" w:w="4320"/>
          </w:tcPr>
          <w:p>
            <w:r>
              <w:t>S3</w:t>
            </w:r>
          </w:p>
        </w:tc>
      </w:tr>
      <w:tr>
        <w:tc>
          <w:tcPr>
            <w:tcW w:type="dxa" w:w="4320"/>
          </w:tcPr>
          <w:p>
            <w:r>
              <w:t>IAJA</w:t>
            </w:r>
          </w:p>
        </w:tc>
        <w:tc>
          <w:tcPr>
            <w:tcW w:type="dxa" w:w="4320"/>
          </w:tcPr>
          <w:p>
            <w:r>
              <w:t>S3</w:t>
            </w:r>
          </w:p>
        </w:tc>
      </w:tr>
      <w:tr>
        <w:tc>
          <w:tcPr>
            <w:tcW w:type="dxa" w:w="4320"/>
          </w:tcPr>
          <w:p>
            <w:r>
              <w:t>INDUSPREVI</w:t>
            </w:r>
          </w:p>
        </w:tc>
        <w:tc>
          <w:tcPr>
            <w:tcW w:type="dxa" w:w="4320"/>
          </w:tcPr>
          <w:p>
            <w:r>
              <w:t>S3</w:t>
            </w:r>
          </w:p>
        </w:tc>
      </w:tr>
      <w:tr>
        <w:tc>
          <w:tcPr>
            <w:tcW w:type="dxa" w:w="4320"/>
          </w:tcPr>
          <w:p>
            <w:r>
              <w:t>INOVAR PREVIDENCIA</w:t>
            </w:r>
          </w:p>
        </w:tc>
        <w:tc>
          <w:tcPr>
            <w:tcW w:type="dxa" w:w="4320"/>
          </w:tcPr>
          <w:p>
            <w:r>
              <w:t>S3</w:t>
            </w:r>
          </w:p>
        </w:tc>
      </w:tr>
      <w:tr>
        <w:tc>
          <w:tcPr>
            <w:tcW w:type="dxa" w:w="4320"/>
          </w:tcPr>
          <w:p>
            <w:r>
              <w:t>ISBRE</w:t>
            </w:r>
          </w:p>
        </w:tc>
        <w:tc>
          <w:tcPr>
            <w:tcW w:type="dxa" w:w="4320"/>
          </w:tcPr>
          <w:p>
            <w:r>
              <w:t>S3</w:t>
            </w:r>
          </w:p>
        </w:tc>
      </w:tr>
      <w:tr>
        <w:tc>
          <w:tcPr>
            <w:tcW w:type="dxa" w:w="4320"/>
          </w:tcPr>
          <w:p>
            <w:r>
              <w:t>JOHNSON</w:t>
            </w:r>
          </w:p>
        </w:tc>
        <w:tc>
          <w:tcPr>
            <w:tcW w:type="dxa" w:w="4320"/>
          </w:tcPr>
          <w:p>
            <w:r>
              <w:t>S3</w:t>
            </w:r>
          </w:p>
        </w:tc>
      </w:tr>
      <w:tr>
        <w:tc>
          <w:tcPr>
            <w:tcW w:type="dxa" w:w="4320"/>
          </w:tcPr>
          <w:p>
            <w:r>
              <w:t>JUSPREV</w:t>
            </w:r>
          </w:p>
        </w:tc>
        <w:tc>
          <w:tcPr>
            <w:tcW w:type="dxa" w:w="4320"/>
          </w:tcPr>
          <w:p>
            <w:r>
              <w:t>S3</w:t>
            </w:r>
          </w:p>
        </w:tc>
      </w:tr>
      <w:tr>
        <w:tc>
          <w:tcPr>
            <w:tcW w:type="dxa" w:w="4320"/>
          </w:tcPr>
          <w:p>
            <w:r>
              <w:t>KPMG PREV</w:t>
            </w:r>
          </w:p>
        </w:tc>
        <w:tc>
          <w:tcPr>
            <w:tcW w:type="dxa" w:w="4320"/>
          </w:tcPr>
          <w:p>
            <w:r>
              <w:t>S3</w:t>
            </w:r>
          </w:p>
        </w:tc>
      </w:tr>
      <w:tr>
        <w:tc>
          <w:tcPr>
            <w:tcW w:type="dxa" w:w="4320"/>
          </w:tcPr>
          <w:p>
            <w:r>
              <w:t>MAIS VIDA PREV</w:t>
            </w:r>
          </w:p>
        </w:tc>
        <w:tc>
          <w:tcPr>
            <w:tcW w:type="dxa" w:w="4320"/>
          </w:tcPr>
          <w:p>
            <w:r>
              <w:t>S3</w:t>
            </w:r>
          </w:p>
        </w:tc>
      </w:tr>
      <w:tr>
        <w:tc>
          <w:tcPr>
            <w:tcW w:type="dxa" w:w="4320"/>
          </w:tcPr>
          <w:p>
            <w:r>
              <w:t>MARCOPREV</w:t>
            </w:r>
          </w:p>
        </w:tc>
        <w:tc>
          <w:tcPr>
            <w:tcW w:type="dxa" w:w="4320"/>
          </w:tcPr>
          <w:p>
            <w:r>
              <w:t>S3</w:t>
            </w:r>
          </w:p>
        </w:tc>
      </w:tr>
      <w:tr>
        <w:tc>
          <w:tcPr>
            <w:tcW w:type="dxa" w:w="4320"/>
          </w:tcPr>
          <w:p>
            <w:r>
              <w:t>MAUA PREV</w:t>
            </w:r>
          </w:p>
        </w:tc>
        <w:tc>
          <w:tcPr>
            <w:tcW w:type="dxa" w:w="4320"/>
          </w:tcPr>
          <w:p>
            <w:r>
              <w:t>S3</w:t>
            </w:r>
          </w:p>
        </w:tc>
      </w:tr>
      <w:tr>
        <w:tc>
          <w:tcPr>
            <w:tcW w:type="dxa" w:w="4320"/>
          </w:tcPr>
          <w:p>
            <w:r>
              <w:t>MBPREV</w:t>
            </w:r>
          </w:p>
        </w:tc>
        <w:tc>
          <w:tcPr>
            <w:tcW w:type="dxa" w:w="4320"/>
          </w:tcPr>
          <w:p>
            <w:r>
              <w:t>S3</w:t>
            </w:r>
          </w:p>
        </w:tc>
      </w:tr>
      <w:tr>
        <w:tc>
          <w:tcPr>
            <w:tcW w:type="dxa" w:w="4320"/>
          </w:tcPr>
          <w:p>
            <w:r>
              <w:t>MSD PREV</w:t>
            </w:r>
          </w:p>
        </w:tc>
        <w:tc>
          <w:tcPr>
            <w:tcW w:type="dxa" w:w="4320"/>
          </w:tcPr>
          <w:p>
            <w:r>
              <w:t>S3</w:t>
            </w:r>
          </w:p>
        </w:tc>
      </w:tr>
      <w:tr>
        <w:tc>
          <w:tcPr>
            <w:tcW w:type="dxa" w:w="4320"/>
          </w:tcPr>
          <w:p>
            <w:r>
              <w:t>OABPREV-MG</w:t>
            </w:r>
          </w:p>
        </w:tc>
        <w:tc>
          <w:tcPr>
            <w:tcW w:type="dxa" w:w="4320"/>
          </w:tcPr>
          <w:p>
            <w:r>
              <w:t>S3</w:t>
            </w:r>
          </w:p>
        </w:tc>
      </w:tr>
      <w:tr>
        <w:tc>
          <w:tcPr>
            <w:tcW w:type="dxa" w:w="4320"/>
          </w:tcPr>
          <w:p>
            <w:r>
              <w:t>OABPREV-PR</w:t>
            </w:r>
          </w:p>
        </w:tc>
        <w:tc>
          <w:tcPr>
            <w:tcW w:type="dxa" w:w="4320"/>
          </w:tcPr>
          <w:p>
            <w:r>
              <w:t>S3</w:t>
            </w:r>
          </w:p>
        </w:tc>
      </w:tr>
      <w:tr>
        <w:tc>
          <w:tcPr>
            <w:tcW w:type="dxa" w:w="4320"/>
          </w:tcPr>
          <w:p>
            <w:r>
              <w:t>OABPREV-SP</w:t>
            </w:r>
          </w:p>
        </w:tc>
        <w:tc>
          <w:tcPr>
            <w:tcW w:type="dxa" w:w="4320"/>
          </w:tcPr>
          <w:p>
            <w:r>
              <w:t>S3</w:t>
            </w:r>
          </w:p>
        </w:tc>
      </w:tr>
      <w:tr>
        <w:tc>
          <w:tcPr>
            <w:tcW w:type="dxa" w:w="4320"/>
          </w:tcPr>
          <w:p>
            <w:r>
              <w:t>P&amp;G PREV</w:t>
            </w:r>
          </w:p>
        </w:tc>
        <w:tc>
          <w:tcPr>
            <w:tcW w:type="dxa" w:w="4320"/>
          </w:tcPr>
          <w:p>
            <w:r>
              <w:t>S3</w:t>
            </w:r>
          </w:p>
        </w:tc>
      </w:tr>
      <w:tr>
        <w:tc>
          <w:tcPr>
            <w:tcW w:type="dxa" w:w="4320"/>
          </w:tcPr>
          <w:p>
            <w:r>
              <w:t>PLANEJAR</w:t>
            </w:r>
          </w:p>
        </w:tc>
        <w:tc>
          <w:tcPr>
            <w:tcW w:type="dxa" w:w="4320"/>
          </w:tcPr>
          <w:p>
            <w:r>
              <w:t>S3</w:t>
            </w:r>
          </w:p>
        </w:tc>
      </w:tr>
      <w:tr>
        <w:tc>
          <w:tcPr>
            <w:tcW w:type="dxa" w:w="4320"/>
          </w:tcPr>
          <w:p>
            <w:r>
              <w:t>PORTOPREV</w:t>
            </w:r>
          </w:p>
        </w:tc>
        <w:tc>
          <w:tcPr>
            <w:tcW w:type="dxa" w:w="4320"/>
          </w:tcPr>
          <w:p>
            <w:r>
              <w:t>S3</w:t>
            </w:r>
          </w:p>
        </w:tc>
      </w:tr>
      <w:tr>
        <w:tc>
          <w:tcPr>
            <w:tcW w:type="dxa" w:w="4320"/>
          </w:tcPr>
          <w:p>
            <w:r>
              <w:t>PORTUS</w:t>
            </w:r>
          </w:p>
        </w:tc>
        <w:tc>
          <w:tcPr>
            <w:tcW w:type="dxa" w:w="4320"/>
          </w:tcPr>
          <w:p>
            <w:r>
              <w:t>S3</w:t>
            </w:r>
          </w:p>
        </w:tc>
      </w:tr>
      <w:tr>
        <w:tc>
          <w:tcPr>
            <w:tcW w:type="dxa" w:w="4320"/>
          </w:tcPr>
          <w:p>
            <w:r>
              <w:t>POUPREV</w:t>
            </w:r>
          </w:p>
        </w:tc>
        <w:tc>
          <w:tcPr>
            <w:tcW w:type="dxa" w:w="4320"/>
          </w:tcPr>
          <w:p>
            <w:r>
              <w:t>S3</w:t>
            </w:r>
          </w:p>
        </w:tc>
      </w:tr>
      <w:tr>
        <w:tc>
          <w:tcPr>
            <w:tcW w:type="dxa" w:w="4320"/>
          </w:tcPr>
          <w:p>
            <w:r>
              <w:t>PREV PEPSICO</w:t>
            </w:r>
          </w:p>
        </w:tc>
        <w:tc>
          <w:tcPr>
            <w:tcW w:type="dxa" w:w="4320"/>
          </w:tcPr>
          <w:p>
            <w:r>
              <w:t>S3</w:t>
            </w:r>
          </w:p>
        </w:tc>
      </w:tr>
      <w:tr>
        <w:tc>
          <w:tcPr>
            <w:tcW w:type="dxa" w:w="4320"/>
          </w:tcPr>
          <w:p>
            <w:r>
              <w:t>PREVDATA</w:t>
            </w:r>
          </w:p>
        </w:tc>
        <w:tc>
          <w:tcPr>
            <w:tcW w:type="dxa" w:w="4320"/>
          </w:tcPr>
          <w:p>
            <w:r>
              <w:t>S3</w:t>
            </w:r>
          </w:p>
        </w:tc>
      </w:tr>
      <w:tr>
        <w:tc>
          <w:tcPr>
            <w:tcW w:type="dxa" w:w="4320"/>
          </w:tcPr>
          <w:p>
            <w:r>
              <w:t>PREVDOW</w:t>
            </w:r>
          </w:p>
        </w:tc>
        <w:tc>
          <w:tcPr>
            <w:tcW w:type="dxa" w:w="4320"/>
          </w:tcPr>
          <w:p>
            <w:r>
              <w:t>S3</w:t>
            </w:r>
          </w:p>
        </w:tc>
      </w:tr>
      <w:tr>
        <w:tc>
          <w:tcPr>
            <w:tcW w:type="dxa" w:w="4320"/>
          </w:tcPr>
          <w:p>
            <w:r>
              <w:t>PREVEME</w:t>
            </w:r>
          </w:p>
        </w:tc>
        <w:tc>
          <w:tcPr>
            <w:tcW w:type="dxa" w:w="4320"/>
          </w:tcPr>
          <w:p>
            <w:r>
              <w:t>S3</w:t>
            </w:r>
          </w:p>
        </w:tc>
      </w:tr>
      <w:tr>
        <w:tc>
          <w:tcPr>
            <w:tcW w:type="dxa" w:w="4320"/>
          </w:tcPr>
          <w:p>
            <w:r>
              <w:t>PREVI NOVARTIS</w:t>
            </w:r>
          </w:p>
        </w:tc>
        <w:tc>
          <w:tcPr>
            <w:tcW w:type="dxa" w:w="4320"/>
          </w:tcPr>
          <w:p>
            <w:r>
              <w:t>S3</w:t>
            </w:r>
          </w:p>
        </w:tc>
      </w:tr>
      <w:tr>
        <w:tc>
          <w:tcPr>
            <w:tcW w:type="dxa" w:w="4320"/>
          </w:tcPr>
          <w:p>
            <w:r>
              <w:t>PREVIBOSCH</w:t>
            </w:r>
          </w:p>
        </w:tc>
        <w:tc>
          <w:tcPr>
            <w:tcW w:type="dxa" w:w="4320"/>
          </w:tcPr>
          <w:p>
            <w:r>
              <w:t>S3</w:t>
            </w:r>
          </w:p>
        </w:tc>
      </w:tr>
      <w:tr>
        <w:tc>
          <w:tcPr>
            <w:tcW w:type="dxa" w:w="4320"/>
          </w:tcPr>
          <w:p>
            <w:r>
              <w:t>PREVICAT</w:t>
            </w:r>
          </w:p>
        </w:tc>
        <w:tc>
          <w:tcPr>
            <w:tcW w:type="dxa" w:w="4320"/>
          </w:tcPr>
          <w:p>
            <w:r>
              <w:t>S3</w:t>
            </w:r>
          </w:p>
        </w:tc>
      </w:tr>
      <w:tr>
        <w:tc>
          <w:tcPr>
            <w:tcW w:type="dxa" w:w="4320"/>
          </w:tcPr>
          <w:p>
            <w:r>
              <w:t>PREVICOKE</w:t>
            </w:r>
          </w:p>
        </w:tc>
        <w:tc>
          <w:tcPr>
            <w:tcW w:type="dxa" w:w="4320"/>
          </w:tcPr>
          <w:p>
            <w:r>
              <w:t>S3</w:t>
            </w:r>
          </w:p>
        </w:tc>
      </w:tr>
      <w:tr>
        <w:tc>
          <w:tcPr>
            <w:tcW w:type="dxa" w:w="4320"/>
          </w:tcPr>
          <w:p>
            <w:r>
              <w:t>PREVIDEXXONMOBIL</w:t>
            </w:r>
          </w:p>
        </w:tc>
        <w:tc>
          <w:tcPr>
            <w:tcW w:type="dxa" w:w="4320"/>
          </w:tcPr>
          <w:p>
            <w:r>
              <w:t>S3</w:t>
            </w:r>
          </w:p>
        </w:tc>
      </w:tr>
      <w:tr>
        <w:tc>
          <w:tcPr>
            <w:tcW w:type="dxa" w:w="4320"/>
          </w:tcPr>
          <w:p>
            <w:r>
              <w:t>PREVIHONDA</w:t>
            </w:r>
          </w:p>
        </w:tc>
        <w:tc>
          <w:tcPr>
            <w:tcW w:type="dxa" w:w="4320"/>
          </w:tcPr>
          <w:p>
            <w:r>
              <w:t>S3</w:t>
            </w:r>
          </w:p>
        </w:tc>
      </w:tr>
      <w:tr>
        <w:tc>
          <w:tcPr>
            <w:tcW w:type="dxa" w:w="4320"/>
          </w:tcPr>
          <w:p>
            <w:r>
              <w:t>PREVIM</w:t>
            </w:r>
          </w:p>
        </w:tc>
        <w:tc>
          <w:tcPr>
            <w:tcW w:type="dxa" w:w="4320"/>
          </w:tcPr>
          <w:p>
            <w:r>
              <w:t>S3</w:t>
            </w:r>
          </w:p>
        </w:tc>
      </w:tr>
      <w:tr>
        <w:tc>
          <w:tcPr>
            <w:tcW w:type="dxa" w:w="4320"/>
          </w:tcPr>
          <w:p>
            <w:r>
              <w:t>PREVINDUS</w:t>
            </w:r>
          </w:p>
        </w:tc>
        <w:tc>
          <w:tcPr>
            <w:tcW w:type="dxa" w:w="4320"/>
          </w:tcPr>
          <w:p>
            <w:r>
              <w:t>S3</w:t>
            </w:r>
          </w:p>
        </w:tc>
      </w:tr>
      <w:tr>
        <w:tc>
          <w:tcPr>
            <w:tcW w:type="dxa" w:w="4320"/>
          </w:tcPr>
          <w:p>
            <w:r>
              <w:t>PREVIPLAN</w:t>
            </w:r>
          </w:p>
        </w:tc>
        <w:tc>
          <w:tcPr>
            <w:tcW w:type="dxa" w:w="4320"/>
          </w:tcPr>
          <w:p>
            <w:r>
              <w:t>S3</w:t>
            </w:r>
          </w:p>
        </w:tc>
      </w:tr>
      <w:tr>
        <w:tc>
          <w:tcPr>
            <w:tcW w:type="dxa" w:w="4320"/>
          </w:tcPr>
          <w:p>
            <w:r>
              <w:t>PREVIRB</w:t>
            </w:r>
          </w:p>
        </w:tc>
        <w:tc>
          <w:tcPr>
            <w:tcW w:type="dxa" w:w="4320"/>
          </w:tcPr>
          <w:p>
            <w:r>
              <w:t>S3</w:t>
            </w:r>
          </w:p>
        </w:tc>
      </w:tr>
      <w:tr>
        <w:tc>
          <w:tcPr>
            <w:tcW w:type="dxa" w:w="4320"/>
          </w:tcPr>
          <w:p>
            <w:r>
              <w:t>PREVI-SIEMENS</w:t>
            </w:r>
          </w:p>
        </w:tc>
        <w:tc>
          <w:tcPr>
            <w:tcW w:type="dxa" w:w="4320"/>
          </w:tcPr>
          <w:p>
            <w:r>
              <w:t>S3</w:t>
            </w:r>
          </w:p>
        </w:tc>
      </w:tr>
      <w:tr>
        <w:tc>
          <w:tcPr>
            <w:tcW w:type="dxa" w:w="4320"/>
          </w:tcPr>
          <w:p>
            <w:r>
              <w:t>PREVNORDESTE</w:t>
            </w:r>
          </w:p>
        </w:tc>
        <w:tc>
          <w:tcPr>
            <w:tcW w:type="dxa" w:w="4320"/>
          </w:tcPr>
          <w:p>
            <w:r>
              <w:t>S3</w:t>
            </w:r>
          </w:p>
        </w:tc>
      </w:tr>
      <w:tr>
        <w:tc>
          <w:tcPr>
            <w:tcW w:type="dxa" w:w="4320"/>
          </w:tcPr>
          <w:p>
            <w:r>
              <w:t>PREVSAN</w:t>
            </w:r>
          </w:p>
        </w:tc>
        <w:tc>
          <w:tcPr>
            <w:tcW w:type="dxa" w:w="4320"/>
          </w:tcPr>
          <w:p>
            <w:r>
              <w:t>S3</w:t>
            </w:r>
          </w:p>
        </w:tc>
      </w:tr>
      <w:tr>
        <w:tc>
          <w:tcPr>
            <w:tcW w:type="dxa" w:w="4320"/>
          </w:tcPr>
          <w:p>
            <w:r>
              <w:t>PREVUNIAO</w:t>
            </w:r>
          </w:p>
        </w:tc>
        <w:tc>
          <w:tcPr>
            <w:tcW w:type="dxa" w:w="4320"/>
          </w:tcPr>
          <w:p>
            <w:r>
              <w:t>S3</w:t>
            </w:r>
          </w:p>
        </w:tc>
      </w:tr>
      <w:tr>
        <w:tc>
          <w:tcPr>
            <w:tcW w:type="dxa" w:w="4320"/>
          </w:tcPr>
          <w:p>
            <w:r>
              <w:t>PRHOSPER</w:t>
            </w:r>
          </w:p>
        </w:tc>
        <w:tc>
          <w:tcPr>
            <w:tcW w:type="dxa" w:w="4320"/>
          </w:tcPr>
          <w:p>
            <w:r>
              <w:t>S3</w:t>
            </w:r>
          </w:p>
        </w:tc>
      </w:tr>
      <w:tr>
        <w:tc>
          <w:tcPr>
            <w:tcW w:type="dxa" w:w="4320"/>
          </w:tcPr>
          <w:p>
            <w:r>
              <w:t>PROMON</w:t>
            </w:r>
          </w:p>
        </w:tc>
        <w:tc>
          <w:tcPr>
            <w:tcW w:type="dxa" w:w="4320"/>
          </w:tcPr>
          <w:p>
            <w:r>
              <w:t>S3</w:t>
            </w:r>
          </w:p>
        </w:tc>
      </w:tr>
      <w:tr>
        <w:tc>
          <w:tcPr>
            <w:tcW w:type="dxa" w:w="4320"/>
          </w:tcPr>
          <w:p>
            <w:r>
              <w:t>RANDONPREV</w:t>
            </w:r>
          </w:p>
        </w:tc>
        <w:tc>
          <w:tcPr>
            <w:tcW w:type="dxa" w:w="4320"/>
          </w:tcPr>
          <w:p>
            <w:r>
              <w:t>S3</w:t>
            </w:r>
          </w:p>
        </w:tc>
      </w:tr>
      <w:tr>
        <w:tc>
          <w:tcPr>
            <w:tcW w:type="dxa" w:w="4320"/>
          </w:tcPr>
          <w:p>
            <w:r>
              <w:t>RUMOS</w:t>
            </w:r>
          </w:p>
        </w:tc>
        <w:tc>
          <w:tcPr>
            <w:tcW w:type="dxa" w:w="4320"/>
          </w:tcPr>
          <w:p>
            <w:r>
              <w:t>S3</w:t>
            </w:r>
          </w:p>
        </w:tc>
      </w:tr>
      <w:tr>
        <w:tc>
          <w:tcPr>
            <w:tcW w:type="dxa" w:w="4320"/>
          </w:tcPr>
          <w:p>
            <w:r>
              <w:t>SAO FRANCISCO</w:t>
            </w:r>
          </w:p>
        </w:tc>
        <w:tc>
          <w:tcPr>
            <w:tcW w:type="dxa" w:w="4320"/>
          </w:tcPr>
          <w:p>
            <w:r>
              <w:t>S3</w:t>
            </w:r>
          </w:p>
        </w:tc>
      </w:tr>
      <w:tr>
        <w:tc>
          <w:tcPr>
            <w:tcW w:type="dxa" w:w="4320"/>
          </w:tcPr>
          <w:p>
            <w:r>
              <w:t>SAO RAFAEL</w:t>
            </w:r>
          </w:p>
        </w:tc>
        <w:tc>
          <w:tcPr>
            <w:tcW w:type="dxa" w:w="4320"/>
          </w:tcPr>
          <w:p>
            <w:r>
              <w:t>S3</w:t>
            </w:r>
          </w:p>
        </w:tc>
      </w:tr>
      <w:tr>
        <w:tc>
          <w:tcPr>
            <w:tcW w:type="dxa" w:w="4320"/>
          </w:tcPr>
          <w:p>
            <w:r>
              <w:t>SARAH PREVIDÊNCIA</w:t>
            </w:r>
          </w:p>
        </w:tc>
        <w:tc>
          <w:tcPr>
            <w:tcW w:type="dxa" w:w="4320"/>
          </w:tcPr>
          <w:p>
            <w:r>
              <w:t>S3</w:t>
            </w:r>
          </w:p>
        </w:tc>
      </w:tr>
      <w:tr>
        <w:tc>
          <w:tcPr>
            <w:tcW w:type="dxa" w:w="4320"/>
          </w:tcPr>
          <w:p>
            <w:r>
              <w:t>SCPREV</w:t>
            </w:r>
          </w:p>
        </w:tc>
        <w:tc>
          <w:tcPr>
            <w:tcW w:type="dxa" w:w="4320"/>
          </w:tcPr>
          <w:p>
            <w:r>
              <w:t>S3</w:t>
            </w:r>
          </w:p>
        </w:tc>
      </w:tr>
      <w:tr>
        <w:tc>
          <w:tcPr>
            <w:tcW w:type="dxa" w:w="4320"/>
          </w:tcPr>
          <w:p>
            <w:r>
              <w:t>SEBRAE PREVIDENCIA</w:t>
            </w:r>
          </w:p>
        </w:tc>
        <w:tc>
          <w:tcPr>
            <w:tcW w:type="dxa" w:w="4320"/>
          </w:tcPr>
          <w:p>
            <w:r>
              <w:t>S3</w:t>
            </w:r>
          </w:p>
        </w:tc>
      </w:tr>
      <w:tr>
        <w:tc>
          <w:tcPr>
            <w:tcW w:type="dxa" w:w="4320"/>
          </w:tcPr>
          <w:p>
            <w:r>
              <w:t>SERGUS</w:t>
            </w:r>
          </w:p>
        </w:tc>
        <w:tc>
          <w:tcPr>
            <w:tcW w:type="dxa" w:w="4320"/>
          </w:tcPr>
          <w:p>
            <w:r>
              <w:t>S3</w:t>
            </w:r>
          </w:p>
        </w:tc>
      </w:tr>
      <w:tr>
        <w:tc>
          <w:tcPr>
            <w:tcW w:type="dxa" w:w="4320"/>
          </w:tcPr>
          <w:p>
            <w:r>
              <w:t>SUPREV</w:t>
            </w:r>
          </w:p>
        </w:tc>
        <w:tc>
          <w:tcPr>
            <w:tcW w:type="dxa" w:w="4320"/>
          </w:tcPr>
          <w:p>
            <w:r>
              <w:t>S3</w:t>
            </w:r>
          </w:p>
        </w:tc>
      </w:tr>
      <w:tr>
        <w:tc>
          <w:tcPr>
            <w:tcW w:type="dxa" w:w="4320"/>
          </w:tcPr>
          <w:p>
            <w:r>
              <w:t>SYNGENTA PREVI</w:t>
            </w:r>
          </w:p>
        </w:tc>
        <w:tc>
          <w:tcPr>
            <w:tcW w:type="dxa" w:w="4320"/>
          </w:tcPr>
          <w:p>
            <w:r>
              <w:t>S3</w:t>
            </w:r>
          </w:p>
        </w:tc>
      </w:tr>
      <w:tr>
        <w:tc>
          <w:tcPr>
            <w:tcW w:type="dxa" w:w="4320"/>
          </w:tcPr>
          <w:p>
            <w:r>
              <w:t>ULTRAPREV</w:t>
            </w:r>
          </w:p>
        </w:tc>
        <w:tc>
          <w:tcPr>
            <w:tcW w:type="dxa" w:w="4320"/>
          </w:tcPr>
          <w:p>
            <w:r>
              <w:t>S3</w:t>
            </w:r>
          </w:p>
        </w:tc>
      </w:tr>
      <w:tr>
        <w:tc>
          <w:tcPr>
            <w:tcW w:type="dxa" w:w="4320"/>
          </w:tcPr>
          <w:p>
            <w:r>
              <w:t>VALUE PREV</w:t>
            </w:r>
          </w:p>
        </w:tc>
        <w:tc>
          <w:tcPr>
            <w:tcW w:type="dxa" w:w="4320"/>
          </w:tcPr>
          <w:p>
            <w:r>
              <w:t>S3</w:t>
            </w:r>
          </w:p>
        </w:tc>
      </w:tr>
      <w:tr>
        <w:tc>
          <w:tcPr>
            <w:tcW w:type="dxa" w:w="4320"/>
          </w:tcPr>
          <w:p>
            <w:r>
              <w:t>VIKINGPREV</w:t>
            </w:r>
          </w:p>
        </w:tc>
        <w:tc>
          <w:tcPr>
            <w:tcW w:type="dxa" w:w="4320"/>
          </w:tcPr>
          <w:p>
            <w:r>
              <w:t>S3</w:t>
            </w:r>
          </w:p>
        </w:tc>
      </w:tr>
      <w:tr>
        <w:tc>
          <w:tcPr>
            <w:tcW w:type="dxa" w:w="4320"/>
          </w:tcPr>
          <w:p>
            <w:r>
              <w:t>ALBAPREV</w:t>
            </w:r>
          </w:p>
        </w:tc>
        <w:tc>
          <w:tcPr>
            <w:tcW w:type="dxa" w:w="4320"/>
          </w:tcPr>
          <w:p>
            <w:r>
              <w:t>S4</w:t>
            </w:r>
          </w:p>
        </w:tc>
      </w:tr>
      <w:tr>
        <w:tc>
          <w:tcPr>
            <w:tcW w:type="dxa" w:w="4320"/>
          </w:tcPr>
          <w:p>
            <w:r>
              <w:t>ALEPEPREV</w:t>
            </w:r>
          </w:p>
        </w:tc>
        <w:tc>
          <w:tcPr>
            <w:tcW w:type="dxa" w:w="4320"/>
          </w:tcPr>
          <w:p>
            <w:r>
              <w:t>S4</w:t>
            </w:r>
          </w:p>
        </w:tc>
      </w:tr>
      <w:tr>
        <w:tc>
          <w:tcPr>
            <w:tcW w:type="dxa" w:w="4320"/>
          </w:tcPr>
          <w:p>
            <w:r>
              <w:t>ALPHA</w:t>
            </w:r>
          </w:p>
        </w:tc>
        <w:tc>
          <w:tcPr>
            <w:tcW w:type="dxa" w:w="4320"/>
          </w:tcPr>
          <w:p>
            <w:r>
              <w:t>S4</w:t>
            </w:r>
          </w:p>
        </w:tc>
      </w:tr>
      <w:tr>
        <w:tc>
          <w:tcPr>
            <w:tcW w:type="dxa" w:w="4320"/>
          </w:tcPr>
          <w:p>
            <w:r>
              <w:t>ALPREV</w:t>
            </w:r>
          </w:p>
        </w:tc>
        <w:tc>
          <w:tcPr>
            <w:tcW w:type="dxa" w:w="4320"/>
          </w:tcPr>
          <w:p>
            <w:r>
              <w:t>S4</w:t>
            </w:r>
          </w:p>
        </w:tc>
      </w:tr>
      <w:tr>
        <w:tc>
          <w:tcPr>
            <w:tcW w:type="dxa" w:w="4320"/>
          </w:tcPr>
          <w:p>
            <w:r>
              <w:t>ANABBPREV</w:t>
            </w:r>
          </w:p>
        </w:tc>
        <w:tc>
          <w:tcPr>
            <w:tcW w:type="dxa" w:w="4320"/>
          </w:tcPr>
          <w:p>
            <w:r>
              <w:t>S4</w:t>
            </w:r>
          </w:p>
        </w:tc>
      </w:tr>
      <w:tr>
        <w:tc>
          <w:tcPr>
            <w:tcW w:type="dxa" w:w="4320"/>
          </w:tcPr>
          <w:p>
            <w:r>
              <w:t>BOSCHPREV</w:t>
            </w:r>
          </w:p>
        </w:tc>
        <w:tc>
          <w:tcPr>
            <w:tcW w:type="dxa" w:w="4320"/>
          </w:tcPr>
          <w:p>
            <w:r>
              <w:t>S4</w:t>
            </w:r>
          </w:p>
        </w:tc>
      </w:tr>
      <w:tr>
        <w:tc>
          <w:tcPr>
            <w:tcW w:type="dxa" w:w="4320"/>
          </w:tcPr>
          <w:p>
            <w:r>
              <w:t>CABEC</w:t>
            </w:r>
          </w:p>
        </w:tc>
        <w:tc>
          <w:tcPr>
            <w:tcW w:type="dxa" w:w="4320"/>
          </w:tcPr>
          <w:p>
            <w:r>
              <w:t>S4</w:t>
            </w:r>
          </w:p>
        </w:tc>
      </w:tr>
      <w:tr>
        <w:tc>
          <w:tcPr>
            <w:tcW w:type="dxa" w:w="4320"/>
          </w:tcPr>
          <w:p>
            <w:r>
              <w:t>CAGEPREV</w:t>
            </w:r>
          </w:p>
        </w:tc>
        <w:tc>
          <w:tcPr>
            <w:tcW w:type="dxa" w:w="4320"/>
          </w:tcPr>
          <w:p>
            <w:r>
              <w:t>S4</w:t>
            </w:r>
          </w:p>
        </w:tc>
      </w:tr>
      <w:tr>
        <w:tc>
          <w:tcPr>
            <w:tcW w:type="dxa" w:w="4320"/>
          </w:tcPr>
          <w:p>
            <w:r>
              <w:t>CAPITAL PREV</w:t>
            </w:r>
          </w:p>
        </w:tc>
        <w:tc>
          <w:tcPr>
            <w:tcW w:type="dxa" w:w="4320"/>
          </w:tcPr>
          <w:p>
            <w:r>
              <w:t>S4</w:t>
            </w:r>
          </w:p>
        </w:tc>
      </w:tr>
      <w:tr>
        <w:tc>
          <w:tcPr>
            <w:tcW w:type="dxa" w:w="4320"/>
          </w:tcPr>
          <w:p>
            <w:r>
              <w:t>CAPOF</w:t>
            </w:r>
          </w:p>
        </w:tc>
        <w:tc>
          <w:tcPr>
            <w:tcW w:type="dxa" w:w="4320"/>
          </w:tcPr>
          <w:p>
            <w:r>
              <w:t>S4</w:t>
            </w:r>
          </w:p>
        </w:tc>
      </w:tr>
      <w:tr>
        <w:tc>
          <w:tcPr>
            <w:tcW w:type="dxa" w:w="4320"/>
          </w:tcPr>
          <w:p>
            <w:r>
              <w:t>CASANPREV</w:t>
            </w:r>
          </w:p>
        </w:tc>
        <w:tc>
          <w:tcPr>
            <w:tcW w:type="dxa" w:w="4320"/>
          </w:tcPr>
          <w:p>
            <w:r>
              <w:t>S4</w:t>
            </w:r>
          </w:p>
        </w:tc>
      </w:tr>
      <w:tr>
        <w:tc>
          <w:tcPr>
            <w:tcW w:type="dxa" w:w="4320"/>
          </w:tcPr>
          <w:p>
            <w:r>
              <w:t>CE-PREVCOM</w:t>
            </w:r>
          </w:p>
        </w:tc>
        <w:tc>
          <w:tcPr>
            <w:tcW w:type="dxa" w:w="4320"/>
          </w:tcPr>
          <w:p>
            <w:r>
              <w:t>S4</w:t>
            </w:r>
          </w:p>
        </w:tc>
      </w:tr>
      <w:tr>
        <w:tc>
          <w:tcPr>
            <w:tcW w:type="dxa" w:w="4320"/>
          </w:tcPr>
          <w:p>
            <w:r>
              <w:t>CIASPREV</w:t>
            </w:r>
          </w:p>
        </w:tc>
        <w:tc>
          <w:tcPr>
            <w:tcW w:type="dxa" w:w="4320"/>
          </w:tcPr>
          <w:p>
            <w:r>
              <w:t>S4</w:t>
            </w:r>
          </w:p>
        </w:tc>
      </w:tr>
      <w:tr>
        <w:tc>
          <w:tcPr>
            <w:tcW w:type="dxa" w:w="4320"/>
          </w:tcPr>
          <w:p>
            <w:r>
              <w:t>CIFRAO</w:t>
            </w:r>
          </w:p>
        </w:tc>
        <w:tc>
          <w:tcPr>
            <w:tcW w:type="dxa" w:w="4320"/>
          </w:tcPr>
          <w:p>
            <w:r>
              <w:t>S4</w:t>
            </w:r>
          </w:p>
        </w:tc>
      </w:tr>
      <w:tr>
        <w:tc>
          <w:tcPr>
            <w:tcW w:type="dxa" w:w="4320"/>
          </w:tcPr>
          <w:p>
            <w:r>
              <w:t>CURITIBAPREV</w:t>
            </w:r>
          </w:p>
        </w:tc>
        <w:tc>
          <w:tcPr>
            <w:tcW w:type="dxa" w:w="4320"/>
          </w:tcPr>
          <w:p>
            <w:r>
              <w:t>S4</w:t>
            </w:r>
          </w:p>
        </w:tc>
      </w:tr>
      <w:tr>
        <w:tc>
          <w:tcPr>
            <w:tcW w:type="dxa" w:w="4320"/>
          </w:tcPr>
          <w:p>
            <w:r>
              <w:t>DANAPREV</w:t>
            </w:r>
          </w:p>
        </w:tc>
        <w:tc>
          <w:tcPr>
            <w:tcW w:type="dxa" w:w="4320"/>
          </w:tcPr>
          <w:p>
            <w:r>
              <w:t>S4</w:t>
            </w:r>
          </w:p>
        </w:tc>
      </w:tr>
      <w:tr>
        <w:tc>
          <w:tcPr>
            <w:tcW w:type="dxa" w:w="4320"/>
          </w:tcPr>
          <w:p>
            <w:r>
              <w:t>DATUSPREV</w:t>
            </w:r>
          </w:p>
        </w:tc>
        <w:tc>
          <w:tcPr>
            <w:tcW w:type="dxa" w:w="4320"/>
          </w:tcPr>
          <w:p>
            <w:r>
              <w:t>S4</w:t>
            </w:r>
          </w:p>
        </w:tc>
      </w:tr>
      <w:tr>
        <w:tc>
          <w:tcPr>
            <w:tcW w:type="dxa" w:w="4320"/>
          </w:tcPr>
          <w:p>
            <w:r>
              <w:t>DERMINAS</w:t>
            </w:r>
          </w:p>
        </w:tc>
        <w:tc>
          <w:tcPr>
            <w:tcW w:type="dxa" w:w="4320"/>
          </w:tcPr>
          <w:p>
            <w:r>
              <w:t>S4</w:t>
            </w:r>
          </w:p>
        </w:tc>
      </w:tr>
      <w:tr>
        <w:tc>
          <w:tcPr>
            <w:tcW w:type="dxa" w:w="4320"/>
          </w:tcPr>
          <w:p>
            <w:r>
              <w:t>DF-PREVICOM</w:t>
            </w:r>
          </w:p>
        </w:tc>
        <w:tc>
          <w:tcPr>
            <w:tcW w:type="dxa" w:w="4320"/>
          </w:tcPr>
          <w:p>
            <w:r>
              <w:t>S4</w:t>
            </w:r>
          </w:p>
        </w:tc>
      </w:tr>
      <w:tr>
        <w:tc>
          <w:tcPr>
            <w:tcW w:type="dxa" w:w="4320"/>
          </w:tcPr>
          <w:p>
            <w:r>
              <w:t>FAPECE</w:t>
            </w:r>
          </w:p>
        </w:tc>
        <w:tc>
          <w:tcPr>
            <w:tcW w:type="dxa" w:w="4320"/>
          </w:tcPr>
          <w:p>
            <w:r>
              <w:t>S4</w:t>
            </w:r>
          </w:p>
        </w:tc>
      </w:tr>
      <w:tr>
        <w:tc>
          <w:tcPr>
            <w:tcW w:type="dxa" w:w="4320"/>
          </w:tcPr>
          <w:p>
            <w:r>
              <w:t>FUCAP</w:t>
            </w:r>
          </w:p>
        </w:tc>
        <w:tc>
          <w:tcPr>
            <w:tcW w:type="dxa" w:w="4320"/>
          </w:tcPr>
          <w:p>
            <w:r>
              <w:t>S4</w:t>
            </w:r>
          </w:p>
        </w:tc>
      </w:tr>
      <w:tr>
        <w:tc>
          <w:tcPr>
            <w:tcW w:type="dxa" w:w="4320"/>
          </w:tcPr>
          <w:p>
            <w:r>
              <w:t>FUMPRESC</w:t>
            </w:r>
          </w:p>
        </w:tc>
        <w:tc>
          <w:tcPr>
            <w:tcW w:type="dxa" w:w="4320"/>
          </w:tcPr>
          <w:p>
            <w:r>
              <w:t>S4</w:t>
            </w:r>
          </w:p>
        </w:tc>
      </w:tr>
      <w:tr>
        <w:tc>
          <w:tcPr>
            <w:tcW w:type="dxa" w:w="4320"/>
          </w:tcPr>
          <w:p>
            <w:r>
              <w:t>FUNCASAL</w:t>
            </w:r>
          </w:p>
        </w:tc>
        <w:tc>
          <w:tcPr>
            <w:tcW w:type="dxa" w:w="4320"/>
          </w:tcPr>
          <w:p>
            <w:r>
              <w:t>S4</w:t>
            </w:r>
          </w:p>
        </w:tc>
      </w:tr>
      <w:tr>
        <w:tc>
          <w:tcPr>
            <w:tcW w:type="dxa" w:w="4320"/>
          </w:tcPr>
          <w:p>
            <w:r>
              <w:t>FUND. BRASILSAT</w:t>
            </w:r>
          </w:p>
        </w:tc>
        <w:tc>
          <w:tcPr>
            <w:tcW w:type="dxa" w:w="4320"/>
          </w:tcPr>
          <w:p>
            <w:r>
              <w:t>S4</w:t>
            </w:r>
          </w:p>
        </w:tc>
      </w:tr>
      <w:tr>
        <w:tc>
          <w:tcPr>
            <w:tcW w:type="dxa" w:w="4320"/>
          </w:tcPr>
          <w:p>
            <w:r>
              <w:t>GASIUS</w:t>
            </w:r>
          </w:p>
        </w:tc>
        <w:tc>
          <w:tcPr>
            <w:tcW w:type="dxa" w:w="4320"/>
          </w:tcPr>
          <w:p>
            <w:r>
              <w:t>S4</w:t>
            </w:r>
          </w:p>
        </w:tc>
      </w:tr>
      <w:tr>
        <w:tc>
          <w:tcPr>
            <w:tcW w:type="dxa" w:w="4320"/>
          </w:tcPr>
          <w:p>
            <w:r>
              <w:t>GEIPREV</w:t>
            </w:r>
          </w:p>
        </w:tc>
        <w:tc>
          <w:tcPr>
            <w:tcW w:type="dxa" w:w="4320"/>
          </w:tcPr>
          <w:p>
            <w:r>
              <w:t>S4</w:t>
            </w:r>
          </w:p>
        </w:tc>
      </w:tr>
      <w:tr>
        <w:tc>
          <w:tcPr>
            <w:tcW w:type="dxa" w:w="4320"/>
          </w:tcPr>
          <w:p>
            <w:r>
              <w:t>LILLYPREV</w:t>
            </w:r>
          </w:p>
        </w:tc>
        <w:tc>
          <w:tcPr>
            <w:tcW w:type="dxa" w:w="4320"/>
          </w:tcPr>
          <w:p>
            <w:r>
              <w:t>S4</w:t>
            </w:r>
          </w:p>
        </w:tc>
      </w:tr>
      <w:tr>
        <w:tc>
          <w:tcPr>
            <w:tcW w:type="dxa" w:w="4320"/>
          </w:tcPr>
          <w:p>
            <w:r>
              <w:t>MAIS FUTURO</w:t>
            </w:r>
          </w:p>
        </w:tc>
        <w:tc>
          <w:tcPr>
            <w:tcW w:type="dxa" w:w="4320"/>
          </w:tcPr>
          <w:p>
            <w:r>
              <w:t>S4</w:t>
            </w:r>
          </w:p>
        </w:tc>
      </w:tr>
      <w:tr>
        <w:tc>
          <w:tcPr>
            <w:tcW w:type="dxa" w:w="4320"/>
          </w:tcPr>
          <w:p>
            <w:r>
              <w:t>MERCERPREV</w:t>
            </w:r>
          </w:p>
        </w:tc>
        <w:tc>
          <w:tcPr>
            <w:tcW w:type="dxa" w:w="4320"/>
          </w:tcPr>
          <w:p>
            <w:r>
              <w:t>S4</w:t>
            </w:r>
          </w:p>
        </w:tc>
      </w:tr>
      <w:tr>
        <w:tc>
          <w:tcPr>
            <w:tcW w:type="dxa" w:w="4320"/>
          </w:tcPr>
          <w:p>
            <w:r>
              <w:t>MM PREV</w:t>
            </w:r>
          </w:p>
        </w:tc>
        <w:tc>
          <w:tcPr>
            <w:tcW w:type="dxa" w:w="4320"/>
          </w:tcPr>
          <w:p>
            <w:r>
              <w:t>S4</w:t>
            </w:r>
          </w:p>
        </w:tc>
      </w:tr>
      <w:tr>
        <w:tc>
          <w:tcPr>
            <w:tcW w:type="dxa" w:w="4320"/>
          </w:tcPr>
          <w:p>
            <w:r>
              <w:t>MONGERAL</w:t>
            </w:r>
          </w:p>
        </w:tc>
        <w:tc>
          <w:tcPr>
            <w:tcW w:type="dxa" w:w="4320"/>
          </w:tcPr>
          <w:p>
            <w:r>
              <w:t>S4</w:t>
            </w:r>
          </w:p>
        </w:tc>
      </w:tr>
      <w:tr>
        <w:tc>
          <w:tcPr>
            <w:tcW w:type="dxa" w:w="4320"/>
          </w:tcPr>
          <w:p>
            <w:r>
              <w:t>MÚTUOPREV</w:t>
            </w:r>
          </w:p>
        </w:tc>
        <w:tc>
          <w:tcPr>
            <w:tcW w:type="dxa" w:w="4320"/>
          </w:tcPr>
          <w:p>
            <w:r>
              <w:t>S4</w:t>
            </w:r>
          </w:p>
        </w:tc>
      </w:tr>
      <w:tr>
        <w:tc>
          <w:tcPr>
            <w:tcW w:type="dxa" w:w="4320"/>
          </w:tcPr>
          <w:p>
            <w:r>
              <w:t>OABPREV-GO</w:t>
            </w:r>
          </w:p>
        </w:tc>
        <w:tc>
          <w:tcPr>
            <w:tcW w:type="dxa" w:w="4320"/>
          </w:tcPr>
          <w:p>
            <w:r>
              <w:t>S4</w:t>
            </w:r>
          </w:p>
        </w:tc>
      </w:tr>
      <w:tr>
        <w:tc>
          <w:tcPr>
            <w:tcW w:type="dxa" w:w="4320"/>
          </w:tcPr>
          <w:p>
            <w:r>
              <w:t>OABPREVNORDESTE</w:t>
            </w:r>
          </w:p>
        </w:tc>
        <w:tc>
          <w:tcPr>
            <w:tcW w:type="dxa" w:w="4320"/>
          </w:tcPr>
          <w:p>
            <w:r>
              <w:t>S4</w:t>
            </w:r>
          </w:p>
        </w:tc>
      </w:tr>
      <w:tr>
        <w:tc>
          <w:tcPr>
            <w:tcW w:type="dxa" w:w="4320"/>
          </w:tcPr>
          <w:p>
            <w:r>
              <w:t>OABPREV-RJ</w:t>
            </w:r>
          </w:p>
        </w:tc>
        <w:tc>
          <w:tcPr>
            <w:tcW w:type="dxa" w:w="4320"/>
          </w:tcPr>
          <w:p>
            <w:r>
              <w:t>S4</w:t>
            </w:r>
          </w:p>
        </w:tc>
      </w:tr>
      <w:tr>
        <w:tc>
          <w:tcPr>
            <w:tcW w:type="dxa" w:w="4320"/>
          </w:tcPr>
          <w:p>
            <w:r>
              <w:t>OABPREV-RS</w:t>
            </w:r>
          </w:p>
        </w:tc>
        <w:tc>
          <w:tcPr>
            <w:tcW w:type="dxa" w:w="4320"/>
          </w:tcPr>
          <w:p>
            <w:r>
              <w:t>S4</w:t>
            </w:r>
          </w:p>
        </w:tc>
      </w:tr>
      <w:tr>
        <w:tc>
          <w:tcPr>
            <w:tcW w:type="dxa" w:w="4320"/>
          </w:tcPr>
          <w:p>
            <w:r>
              <w:t>OABPREV-SC</w:t>
            </w:r>
          </w:p>
        </w:tc>
        <w:tc>
          <w:tcPr>
            <w:tcW w:type="dxa" w:w="4320"/>
          </w:tcPr>
          <w:p>
            <w:r>
              <w:t>S4</w:t>
            </w:r>
          </w:p>
        </w:tc>
      </w:tr>
      <w:tr>
        <w:tc>
          <w:tcPr>
            <w:tcW w:type="dxa" w:w="4320"/>
          </w:tcPr>
          <w:p>
            <w:r>
              <w:t>ORIUS</w:t>
            </w:r>
          </w:p>
        </w:tc>
        <w:tc>
          <w:tcPr>
            <w:tcW w:type="dxa" w:w="4320"/>
          </w:tcPr>
          <w:p>
            <w:r>
              <w:t>S4</w:t>
            </w:r>
          </w:p>
        </w:tc>
      </w:tr>
      <w:tr>
        <w:tc>
          <w:tcPr>
            <w:tcW w:type="dxa" w:w="4320"/>
          </w:tcPr>
          <w:p>
            <w:r>
              <w:t>PREVBEP</w:t>
            </w:r>
          </w:p>
        </w:tc>
        <w:tc>
          <w:tcPr>
            <w:tcW w:type="dxa" w:w="4320"/>
          </w:tcPr>
          <w:p>
            <w:r>
              <w:t>S4</w:t>
            </w:r>
          </w:p>
        </w:tc>
      </w:tr>
      <w:tr>
        <w:tc>
          <w:tcPr>
            <w:tcW w:type="dxa" w:w="4320"/>
          </w:tcPr>
          <w:p>
            <w:r>
              <w:t>PREVCOM-BRC</w:t>
            </w:r>
          </w:p>
        </w:tc>
        <w:tc>
          <w:tcPr>
            <w:tcW w:type="dxa" w:w="4320"/>
          </w:tcPr>
          <w:p>
            <w:r>
              <w:t>S4</w:t>
            </w:r>
          </w:p>
        </w:tc>
      </w:tr>
      <w:tr>
        <w:tc>
          <w:tcPr>
            <w:tcW w:type="dxa" w:w="4320"/>
          </w:tcPr>
          <w:p>
            <w:r>
              <w:t>PREVCOM-MG</w:t>
            </w:r>
          </w:p>
        </w:tc>
        <w:tc>
          <w:tcPr>
            <w:tcW w:type="dxa" w:w="4320"/>
          </w:tcPr>
          <w:p>
            <w:r>
              <w:t>S4</w:t>
            </w:r>
          </w:p>
        </w:tc>
      </w:tr>
      <w:tr>
        <w:tc>
          <w:tcPr>
            <w:tcW w:type="dxa" w:w="4320"/>
          </w:tcPr>
          <w:p>
            <w:r>
              <w:t>PREVCUMMINS</w:t>
            </w:r>
          </w:p>
        </w:tc>
        <w:tc>
          <w:tcPr>
            <w:tcW w:type="dxa" w:w="4320"/>
          </w:tcPr>
          <w:p>
            <w:r>
              <w:t>S4</w:t>
            </w:r>
          </w:p>
        </w:tc>
      </w:tr>
      <w:tr>
        <w:tc>
          <w:tcPr>
            <w:tcW w:type="dxa" w:w="4320"/>
          </w:tcPr>
          <w:p>
            <w:r>
              <w:t>PREVEME II</w:t>
            </w:r>
          </w:p>
        </w:tc>
        <w:tc>
          <w:tcPr>
            <w:tcW w:type="dxa" w:w="4320"/>
          </w:tcPr>
          <w:p>
            <w:r>
              <w:t>S4</w:t>
            </w:r>
          </w:p>
        </w:tc>
      </w:tr>
      <w:tr>
        <w:tc>
          <w:tcPr>
            <w:tcW w:type="dxa" w:w="4320"/>
          </w:tcPr>
          <w:p>
            <w:r>
              <w:t>PREVES</w:t>
            </w:r>
          </w:p>
        </w:tc>
        <w:tc>
          <w:tcPr>
            <w:tcW w:type="dxa" w:w="4320"/>
          </w:tcPr>
          <w:p>
            <w:r>
              <w:t>S4</w:t>
            </w:r>
          </w:p>
        </w:tc>
      </w:tr>
      <w:tr>
        <w:tc>
          <w:tcPr>
            <w:tcW w:type="dxa" w:w="4320"/>
          </w:tcPr>
          <w:p>
            <w:r>
              <w:t>PREVHAB</w:t>
            </w:r>
          </w:p>
        </w:tc>
        <w:tc>
          <w:tcPr>
            <w:tcW w:type="dxa" w:w="4320"/>
          </w:tcPr>
          <w:p>
            <w:r>
              <w:t>S4</w:t>
            </w:r>
          </w:p>
        </w:tc>
      </w:tr>
      <w:tr>
        <w:tc>
          <w:tcPr>
            <w:tcW w:type="dxa" w:w="4320"/>
          </w:tcPr>
          <w:p>
            <w:r>
              <w:t>PREVICEL</w:t>
            </w:r>
          </w:p>
        </w:tc>
        <w:tc>
          <w:tcPr>
            <w:tcW w:type="dxa" w:w="4320"/>
          </w:tcPr>
          <w:p>
            <w:r>
              <w:t>S4</w:t>
            </w:r>
          </w:p>
        </w:tc>
      </w:tr>
      <w:tr>
        <w:tc>
          <w:tcPr>
            <w:tcW w:type="dxa" w:w="4320"/>
          </w:tcPr>
          <w:p>
            <w:r>
              <w:t>PREVIK</w:t>
            </w:r>
          </w:p>
        </w:tc>
        <w:tc>
          <w:tcPr>
            <w:tcW w:type="dxa" w:w="4320"/>
          </w:tcPr>
          <w:p>
            <w:r>
              <w:t>S4</w:t>
            </w:r>
          </w:p>
        </w:tc>
      </w:tr>
      <w:tr>
        <w:tc>
          <w:tcPr>
            <w:tcW w:type="dxa" w:w="4320"/>
          </w:tcPr>
          <w:p>
            <w:r>
              <w:t>PREVIP</w:t>
            </w:r>
          </w:p>
        </w:tc>
        <w:tc>
          <w:tcPr>
            <w:tcW w:type="dxa" w:w="4320"/>
          </w:tcPr>
          <w:p>
            <w:r>
              <w:t>S4</w:t>
            </w:r>
          </w:p>
        </w:tc>
      </w:tr>
      <w:tr>
        <w:tc>
          <w:tcPr>
            <w:tcW w:type="dxa" w:w="4320"/>
          </w:tcPr>
          <w:p>
            <w:r>
              <w:t>PREVISCANIA</w:t>
            </w:r>
          </w:p>
        </w:tc>
        <w:tc>
          <w:tcPr>
            <w:tcW w:type="dxa" w:w="4320"/>
          </w:tcPr>
          <w:p>
            <w:r>
              <w:t>S4</w:t>
            </w:r>
          </w:p>
        </w:tc>
      </w:tr>
      <w:tr>
        <w:tc>
          <w:tcPr>
            <w:tcW w:type="dxa" w:w="4320"/>
          </w:tcPr>
          <w:p>
            <w:r>
              <w:t>PREVISTIHL</w:t>
            </w:r>
          </w:p>
        </w:tc>
        <w:tc>
          <w:tcPr>
            <w:tcW w:type="dxa" w:w="4320"/>
          </w:tcPr>
          <w:p>
            <w:r>
              <w:t>S4</w:t>
            </w:r>
          </w:p>
        </w:tc>
      </w:tr>
      <w:tr>
        <w:tc>
          <w:tcPr>
            <w:tcW w:type="dxa" w:w="4320"/>
          </w:tcPr>
          <w:p>
            <w:r>
              <w:t>PREVSOMPO</w:t>
            </w:r>
          </w:p>
        </w:tc>
        <w:tc>
          <w:tcPr>
            <w:tcW w:type="dxa" w:w="4320"/>
          </w:tcPr>
          <w:p>
            <w:r>
              <w:t>S4</w:t>
            </w:r>
          </w:p>
        </w:tc>
      </w:tr>
      <w:tr>
        <w:tc>
          <w:tcPr>
            <w:tcW w:type="dxa" w:w="4320"/>
          </w:tcPr>
          <w:p>
            <w:r>
              <w:t>PREVUNISUL</w:t>
            </w:r>
          </w:p>
        </w:tc>
        <w:tc>
          <w:tcPr>
            <w:tcW w:type="dxa" w:w="4320"/>
          </w:tcPr>
          <w:p>
            <w:r>
              <w:t>S4</w:t>
            </w:r>
          </w:p>
        </w:tc>
      </w:tr>
      <w:tr>
        <w:tc>
          <w:tcPr>
            <w:tcW w:type="dxa" w:w="4320"/>
          </w:tcPr>
          <w:p>
            <w:r>
              <w:t>RBS PREV</w:t>
            </w:r>
          </w:p>
        </w:tc>
        <w:tc>
          <w:tcPr>
            <w:tcW w:type="dxa" w:w="4320"/>
          </w:tcPr>
          <w:p>
            <w:r>
              <w:t>S4</w:t>
            </w:r>
          </w:p>
        </w:tc>
      </w:tr>
      <w:tr>
        <w:tc>
          <w:tcPr>
            <w:tcW w:type="dxa" w:w="4320"/>
          </w:tcPr>
          <w:p>
            <w:r>
              <w:t>RECKITTPREV</w:t>
            </w:r>
          </w:p>
        </w:tc>
        <w:tc>
          <w:tcPr>
            <w:tcW w:type="dxa" w:w="4320"/>
          </w:tcPr>
          <w:p>
            <w:r>
              <w:t>S4</w:t>
            </w:r>
          </w:p>
        </w:tc>
      </w:tr>
      <w:tr>
        <w:tc>
          <w:tcPr>
            <w:tcW w:type="dxa" w:w="4320"/>
          </w:tcPr>
          <w:p>
            <w:r>
              <w:t>RJPREV</w:t>
            </w:r>
          </w:p>
        </w:tc>
        <w:tc>
          <w:tcPr>
            <w:tcW w:type="dxa" w:w="4320"/>
          </w:tcPr>
          <w:p>
            <w:r>
              <w:t>S4</w:t>
            </w:r>
          </w:p>
        </w:tc>
      </w:tr>
      <w:tr>
        <w:tc>
          <w:tcPr>
            <w:tcW w:type="dxa" w:w="4320"/>
          </w:tcPr>
          <w:p>
            <w:r>
              <w:t>RS-PREV</w:t>
            </w:r>
          </w:p>
        </w:tc>
        <w:tc>
          <w:tcPr>
            <w:tcW w:type="dxa" w:w="4320"/>
          </w:tcPr>
          <w:p>
            <w:r>
              <w:t>S4</w:t>
            </w:r>
          </w:p>
        </w:tc>
      </w:tr>
      <w:tr>
        <w:tc>
          <w:tcPr>
            <w:tcW w:type="dxa" w:w="4320"/>
          </w:tcPr>
          <w:p>
            <w:r>
              <w:t>SBOTPREV</w:t>
            </w:r>
          </w:p>
        </w:tc>
        <w:tc>
          <w:tcPr>
            <w:tcW w:type="dxa" w:w="4320"/>
          </w:tcPr>
          <w:p>
            <w:r>
              <w:t>S4</w:t>
            </w:r>
          </w:p>
        </w:tc>
      </w:tr>
      <w:tr>
        <w:tc>
          <w:tcPr>
            <w:tcW w:type="dxa" w:w="4320"/>
          </w:tcPr>
          <w:p>
            <w:r>
              <w:t>SIAS</w:t>
            </w:r>
          </w:p>
        </w:tc>
        <w:tc>
          <w:tcPr>
            <w:tcW w:type="dxa" w:w="4320"/>
          </w:tcPr>
          <w:p>
            <w:r>
              <w:t>S4</w:t>
            </w:r>
          </w:p>
        </w:tc>
      </w:tr>
      <w:tr>
        <w:tc>
          <w:tcPr>
            <w:tcW w:type="dxa" w:w="4320"/>
          </w:tcPr>
          <w:p>
            <w:r>
              <w:t>SILIUS</w:t>
            </w:r>
          </w:p>
        </w:tc>
        <w:tc>
          <w:tcPr>
            <w:tcW w:type="dxa" w:w="4320"/>
          </w:tcPr>
          <w:p>
            <w:r>
              <w:t>S4</w:t>
            </w:r>
          </w:p>
        </w:tc>
      </w:tr>
      <w:tr>
        <w:tc>
          <w:tcPr>
            <w:tcW w:type="dxa" w:w="4320"/>
          </w:tcPr>
          <w:p>
            <w:r>
              <w:t>SOMUPP</w:t>
            </w:r>
          </w:p>
        </w:tc>
        <w:tc>
          <w:tcPr>
            <w:tcW w:type="dxa" w:w="4320"/>
          </w:tcPr>
          <w:p>
            <w:r>
              <w:t>S4</w:t>
            </w:r>
          </w:p>
        </w:tc>
      </w:tr>
      <w:tr>
        <w:tc>
          <w:tcPr>
            <w:tcW w:type="dxa" w:w="4320"/>
          </w:tcPr>
          <w:p>
            <w:r>
              <w:t>SUL PREVIDÊNCIA</w:t>
            </w:r>
          </w:p>
        </w:tc>
        <w:tc>
          <w:tcPr>
            <w:tcW w:type="dxa" w:w="4320"/>
          </w:tcPr>
          <w:p>
            <w:r>
              <w:t>S4</w:t>
            </w:r>
          </w:p>
        </w:tc>
      </w:tr>
      <w:tr>
        <w:tc>
          <w:tcPr>
            <w:tcW w:type="dxa" w:w="4320"/>
          </w:tcPr>
          <w:p>
            <w:r>
              <w:t>TETRA PAK PREV</w:t>
            </w:r>
          </w:p>
        </w:tc>
        <w:tc>
          <w:tcPr>
            <w:tcW w:type="dxa" w:w="4320"/>
          </w:tcPr>
          <w:p>
            <w:r>
              <w:t>S4</w:t>
            </w:r>
          </w:p>
        </w:tc>
      </w:tr>
      <w:tr>
        <w:tc>
          <w:tcPr>
            <w:tcW w:type="dxa" w:w="4320"/>
          </w:tcPr>
          <w:p>
            <w:r>
              <w:t>TEXPREV</w:t>
            </w:r>
          </w:p>
        </w:tc>
        <w:tc>
          <w:tcPr>
            <w:tcW w:type="dxa" w:w="4320"/>
          </w:tcPr>
          <w:p>
            <w:r>
              <w:t>S4</w:t>
            </w:r>
          </w:p>
        </w:tc>
      </w:tr>
      <w:tr>
        <w:tc>
          <w:tcPr>
            <w:tcW w:type="dxa" w:w="4320"/>
          </w:tcPr>
          <w:p>
            <w:r>
              <w:t>TOYOTA PREVI</w:t>
            </w:r>
          </w:p>
        </w:tc>
        <w:tc>
          <w:tcPr>
            <w:tcW w:type="dxa" w:w="4320"/>
          </w:tcPr>
          <w:p>
            <w:r>
              <w:t>S4</w:t>
            </w:r>
          </w:p>
        </w:tc>
      </w:tr>
      <w:tr>
        <w:tc>
          <w:tcPr>
            <w:tcW w:type="dxa" w:w="4320"/>
          </w:tcPr>
          <w:p>
            <w:r>
              <w:t>TRAMONTINAPREV</w:t>
            </w:r>
          </w:p>
        </w:tc>
        <w:tc>
          <w:tcPr>
            <w:tcW w:type="dxa" w:w="4320"/>
          </w:tcPr>
          <w:p>
            <w:r>
              <w:t>S4</w:t>
            </w:r>
          </w:p>
        </w:tc>
      </w:tr>
      <w:tr>
        <w:tc>
          <w:tcPr>
            <w:tcW w:type="dxa" w:w="4320"/>
          </w:tcPr>
          <w:p>
            <w:r>
              <w:t>UNIPREVI</w:t>
            </w:r>
          </w:p>
        </w:tc>
        <w:tc>
          <w:tcPr>
            <w:tcW w:type="dxa" w:w="4320"/>
          </w:tcPr>
          <w:p>
            <w:r>
              <w:t>S4</w:t>
            </w:r>
          </w:p>
        </w:tc>
      </w:tr>
      <w:tr>
        <w:tc>
          <w:tcPr>
            <w:tcW w:type="dxa" w:w="4320"/>
          </w:tcPr>
          <w:p>
            <w:r>
              <w:t>UNISYS-PREVI</w:t>
            </w:r>
          </w:p>
        </w:tc>
        <w:tc>
          <w:tcPr>
            <w:tcW w:type="dxa" w:w="4320"/>
          </w:tcPr>
          <w:p>
            <w:r>
              <w:t>S4</w:t>
            </w:r>
          </w:p>
        </w:tc>
      </w:tr>
      <w:tr>
        <w:tc>
          <w:tcPr>
            <w:tcW w:type="dxa" w:w="4320"/>
          </w:tcPr>
          <w:p>
            <w:r>
              <w:t>VBPP</w:t>
            </w:r>
          </w:p>
        </w:tc>
        <w:tc>
          <w:tcPr>
            <w:tcW w:type="dxa" w:w="4320"/>
          </w:tcPr>
          <w:p>
            <w:r>
              <w:t>S4</w:t>
            </w:r>
          </w:p>
        </w:tc>
      </w:tr>
      <w:tr>
        <w:tc>
          <w:tcPr>
            <w:tcW w:type="dxa" w:w="4320"/>
          </w:tcPr>
          <w:p>
            <w:r>
              <w:t>VOITH PREV</w:t>
            </w:r>
          </w:p>
        </w:tc>
        <w:tc>
          <w:tcPr>
            <w:tcW w:type="dxa" w:w="4320"/>
          </w:tcPr>
          <w:p>
            <w:r>
              <w:t>S4</w:t>
            </w:r>
          </w:p>
        </w:tc>
      </w:tr>
    </w:tbl>
    <w:p/>
    <w:p>
      <w:r>
        <w:t>FUTURA PREV</w:t>
      </w:r>
    </w:p>
    <w:p>
      <w:r>
        <w:t>S3</w:t>
      </w:r>
    </w:p>
    <w:p>
      <w:r>
        <w:t>FUTURAMAIS</w:t>
      </w:r>
    </w:p>
    <w:p>
      <w:r>
        <w:t>S3</w:t>
      </w:r>
    </w:p>
    <w:p>
      <w:r>
        <w:t>IAJA</w:t>
      </w:r>
    </w:p>
    <w:p>
      <w:r>
        <w:t>S3</w:t>
      </w:r>
    </w:p>
    <w:p>
      <w:r>
        <w:t>INDUSPREVI</w:t>
      </w:r>
    </w:p>
    <w:p>
      <w:r>
        <w:t>S3</w:t>
      </w:r>
    </w:p>
    <w:p>
      <w:r>
        <w:t>INOVAR PREVIDENCIA</w:t>
      </w:r>
    </w:p>
    <w:p>
      <w:r>
        <w:t>S3</w:t>
      </w:r>
    </w:p>
    <w:p>
      <w:r>
        <w:t>ISBRE</w:t>
      </w:r>
    </w:p>
    <w:p>
      <w:r>
        <w:t>S3</w:t>
      </w:r>
    </w:p>
    <w:p>
      <w:r>
        <w:t>JOHNSON</w:t>
      </w:r>
    </w:p>
    <w:p>
      <w:r>
        <w:t>S3</w:t>
      </w:r>
    </w:p>
    <w:p>
      <w:r>
        <w:t>JUSPREV</w:t>
      </w:r>
    </w:p>
    <w:p>
      <w:r>
        <w:t>S3</w:t>
      </w:r>
    </w:p>
    <w:p>
      <w:r>
        <w:t>KPMG PREV</w:t>
      </w:r>
    </w:p>
    <w:p>
      <w:r>
        <w:t>S3</w:t>
      </w:r>
    </w:p>
    <w:p>
      <w:r>
        <w:t>MAIS VIDA PREV</w:t>
      </w:r>
    </w:p>
    <w:p>
      <w:r>
        <w:t>S3</w:t>
      </w:r>
    </w:p>
    <w:p>
      <w:r>
        <w:t>MARCOPREV</w:t>
      </w:r>
    </w:p>
    <w:p>
      <w:r>
        <w:t>S3</w:t>
      </w:r>
    </w:p>
    <w:p>
      <w:r>
        <w:t>MAUA PREV</w:t>
      </w:r>
    </w:p>
    <w:p>
      <w:r>
        <w:t>S3</w:t>
      </w:r>
    </w:p>
    <w:p>
      <w:r>
        <w:t>MBPREV</w:t>
      </w:r>
    </w:p>
    <w:p>
      <w:r>
        <w:t>S3</w:t>
      </w:r>
    </w:p>
    <w:p>
      <w:r>
        <w:t>MSD PREV</w:t>
      </w:r>
    </w:p>
    <w:p>
      <w:r>
        <w:t>S3</w:t>
      </w:r>
    </w:p>
    <w:p>
      <w:r>
        <w:t>OABPREV-MG</w:t>
      </w:r>
    </w:p>
    <w:p>
      <w:r>
        <w:t>S3</w:t>
      </w:r>
    </w:p>
    <w:p>
      <w:r>
        <w:t>OABPREV-PR</w:t>
      </w:r>
    </w:p>
    <w:p>
      <w:r>
        <w:t>S3</w:t>
      </w:r>
    </w:p>
    <w:p>
      <w:r>
        <w:t>OABPREV-SP</w:t>
      </w:r>
    </w:p>
    <w:p>
      <w:r>
        <w:t>S3</w:t>
      </w:r>
    </w:p>
    <w:p>
      <w:r>
        <w:t>P&amp;G PREV</w:t>
      </w:r>
    </w:p>
    <w:p>
      <w:r>
        <w:t>S3</w:t>
      </w:r>
    </w:p>
    <w:p>
      <w:r>
        <w:t>PLANEJAR</w:t>
      </w:r>
    </w:p>
    <w:p>
      <w:r>
        <w:t>S3</w:t>
      </w:r>
    </w:p>
    <w:p>
      <w:r>
        <w:t>PORTOPREV</w:t>
      </w:r>
    </w:p>
    <w:p>
      <w:r>
        <w:t>S3</w:t>
      </w:r>
    </w:p>
    <w:p>
      <w:r>
        <w:t>PORTUS</w:t>
      </w:r>
    </w:p>
    <w:p>
      <w:r>
        <w:t>S3</w:t>
      </w:r>
    </w:p>
    <w:p>
      <w:r>
        <w:t>POUPREV</w:t>
      </w:r>
    </w:p>
    <w:p>
      <w:r>
        <w:t>S3</w:t>
      </w:r>
    </w:p>
    <w:p>
      <w:r>
        <w:t>PREV PEPSICO</w:t>
      </w:r>
    </w:p>
    <w:p>
      <w:r>
        <w:t>S3</w:t>
      </w:r>
    </w:p>
    <w:p>
      <w:r>
        <w:t>PREVDATA</w:t>
      </w:r>
    </w:p>
    <w:p>
      <w:r>
        <w:t>S3</w:t>
      </w:r>
    </w:p>
    <w:p>
      <w:r>
        <w:t>PREVDOW</w:t>
      </w:r>
    </w:p>
    <w:p>
      <w:r>
        <w:t>S3</w:t>
      </w:r>
    </w:p>
    <w:p>
      <w:r>
        <w:t>PREVEME</w:t>
      </w:r>
    </w:p>
    <w:p>
      <w:r>
        <w:t>S3</w:t>
      </w:r>
    </w:p>
    <w:p>
      <w:r>
        <w:t>PREVI NOVARTIS</w:t>
      </w:r>
    </w:p>
    <w:p>
      <w:r>
        <w:t>S3</w:t>
      </w:r>
    </w:p>
    <w:p>
      <w:r>
        <w:t>PREVIBOSCH</w:t>
      </w:r>
    </w:p>
    <w:p>
      <w:r>
        <w:t>S3</w:t>
      </w:r>
    </w:p>
    <w:p>
      <w:r>
        <w:t>PREVICAT</w:t>
      </w:r>
    </w:p>
    <w:p>
      <w:r>
        <w:t>S3</w:t>
      </w:r>
    </w:p>
    <w:p>
      <w:r>
        <w:t>PREVICOKE</w:t>
      </w:r>
    </w:p>
    <w:p>
      <w:r>
        <w:t>S3</w:t>
      </w:r>
    </w:p>
    <w:p>
      <w:r>
        <w:t>PREVIDEXXONMOBIL</w:t>
      </w:r>
    </w:p>
    <w:p>
      <w:r>
        <w:t>S3</w:t>
      </w:r>
    </w:p>
    <w:p>
      <w:r>
        <w:t>PREVIHONDA</w:t>
      </w:r>
    </w:p>
    <w:p>
      <w:r>
        <w:t>S3</w:t>
      </w:r>
    </w:p>
    <w:p>
      <w:r>
        <w:t>PREVIM</w:t>
      </w:r>
    </w:p>
    <w:p>
      <w:r>
        <w:t>S3</w:t>
      </w:r>
    </w:p>
    <w:p>
      <w:r>
        <w:t>PREVINDUS</w:t>
      </w:r>
    </w:p>
    <w:p>
      <w:r>
        <w:t>S3</w:t>
      </w:r>
    </w:p>
    <w:p>
      <w:r>
        <w:t>PREVIPLAN</w:t>
      </w:r>
    </w:p>
    <w:p>
      <w:r>
        <w:t>S3</w:t>
      </w:r>
    </w:p>
    <w:p>
      <w:r>
        <w:t>PREVIRB</w:t>
      </w:r>
    </w:p>
    <w:p>
      <w:r>
        <w:t>S3</w:t>
      </w:r>
    </w:p>
    <w:p>
      <w:r>
        <w:t>PREVI-SIEMENS</w:t>
      </w:r>
    </w:p>
    <w:p>
      <w:r>
        <w:t>S3</w:t>
      </w:r>
    </w:p>
    <w:p>
      <w:r>
        <w:t>PREVNORDESTE</w:t>
      </w:r>
    </w:p>
    <w:p>
      <w:r>
        <w:t>S3</w:t>
      </w:r>
    </w:p>
    <w:p>
      <w:r>
        <w:t>PREVSAN</w:t>
      </w:r>
    </w:p>
    <w:p>
      <w:r>
        <w:t>S3</w:t>
      </w:r>
    </w:p>
    <w:p>
      <w:r>
        <w:t>PREVUNIAO</w:t>
      </w:r>
    </w:p>
    <w:p>
      <w:r>
        <w:t>S3</w:t>
      </w:r>
    </w:p>
    <w:p>
      <w:r>
        <w:t>PRHOSPER</w:t>
      </w:r>
    </w:p>
    <w:p>
      <w:r>
        <w:t>S3</w:t>
      </w:r>
    </w:p>
    <w:p>
      <w:r>
        <w:t>PROMON</w:t>
      </w:r>
    </w:p>
    <w:p>
      <w:r>
        <w:t>S3</w:t>
      </w:r>
    </w:p>
    <w:p>
      <w:r>
        <w:t>RANDONPREV</w:t>
      </w:r>
    </w:p>
    <w:p>
      <w:r>
        <w:t>S3</w:t>
      </w:r>
    </w:p>
    <w:p>
      <w:r>
        <w:t>RUMOS</w:t>
      </w:r>
    </w:p>
    <w:p>
      <w:r>
        <w:t>S3</w:t>
      </w:r>
    </w:p>
    <w:p>
      <w:r>
        <w:t>SAO FRANCISCO</w:t>
      </w:r>
    </w:p>
    <w:p>
      <w:r>
        <w:t>S3</w:t>
      </w:r>
    </w:p>
    <w:p>
      <w:r>
        <w:t>SAO RAFAEL</w:t>
      </w:r>
    </w:p>
    <w:p>
      <w:r>
        <w:t>S3</w:t>
      </w:r>
    </w:p>
    <w:p>
      <w:r>
        <w:t>SARAH PREVIDÊNCIA</w:t>
      </w:r>
    </w:p>
    <w:p>
      <w:r>
        <w:t>S3</w:t>
      </w:r>
    </w:p>
    <w:p>
      <w:r>
        <w:t>SCPREV</w:t>
      </w:r>
    </w:p>
    <w:p>
      <w:r>
        <w:t>S3</w:t>
      </w:r>
    </w:p>
    <w:p>
      <w:r>
        <w:t>SEBRAE PREVIDENCIA</w:t>
      </w:r>
    </w:p>
    <w:p>
      <w:r>
        <w:t>S3</w:t>
      </w:r>
    </w:p>
    <w:p>
      <w:r>
        <w:t>SERGUS</w:t>
      </w:r>
    </w:p>
    <w:p>
      <w:r>
        <w:t>S3</w:t>
      </w:r>
    </w:p>
    <w:p>
      <w:r>
        <w:t>SUPREV</w:t>
      </w:r>
    </w:p>
    <w:p>
      <w:r>
        <w:t>S3</w:t>
      </w:r>
    </w:p>
    <w:p>
      <w:r>
        <w:t>SYNGENTA PREVI</w:t>
      </w:r>
    </w:p>
    <w:p>
      <w:r>
        <w:t>S3</w:t>
      </w:r>
    </w:p>
    <w:p>
      <w:r>
        <w:t>ULTRAPREV</w:t>
      </w:r>
    </w:p>
    <w:p>
      <w:r>
        <w:t>S3</w:t>
      </w:r>
    </w:p>
    <w:p>
      <w:r>
        <w:t>VALUE PREV</w:t>
      </w:r>
    </w:p>
    <w:p>
      <w:r>
        <w:t>S3</w:t>
      </w:r>
    </w:p>
    <w:p>
      <w:r>
        <w:t>VIKINGPREV</w:t>
      </w:r>
    </w:p>
    <w:p>
      <w:r>
        <w:t>S3</w:t>
      </w:r>
    </w:p>
    <w:p>
      <w:r>
        <w:t>ALBAPREV</w:t>
      </w:r>
    </w:p>
    <w:p>
      <w:r>
        <w:t>S4</w:t>
      </w:r>
    </w:p>
    <w:p>
      <w:r>
        <w:t>ALEPEPREV</w:t>
      </w:r>
    </w:p>
    <w:p>
      <w:r>
        <w:t>S4</w:t>
      </w:r>
    </w:p>
    <w:p>
      <w:r>
        <w:t>ALPHA</w:t>
      </w:r>
    </w:p>
    <w:p>
      <w:r>
        <w:t>S4</w:t>
      </w:r>
    </w:p>
    <w:p>
      <w:r>
        <w:t>ALPREV</w:t>
      </w:r>
    </w:p>
    <w:p>
      <w:r>
        <w:t>S4</w:t>
      </w:r>
    </w:p>
    <w:p>
      <w:r>
        <w:t>ANABBPREV</w:t>
      </w:r>
    </w:p>
    <w:p>
      <w:r>
        <w:t>S4</w:t>
      </w:r>
    </w:p>
    <w:p>
      <w:r>
        <w:t>BOSCHPREV</w:t>
      </w:r>
    </w:p>
    <w:p>
      <w:r>
        <w:t>S4</w:t>
      </w:r>
    </w:p>
    <w:p>
      <w:r>
        <w:t>CABEC</w:t>
      </w:r>
    </w:p>
    <w:p>
      <w:r>
        <w:t>S4</w:t>
      </w:r>
    </w:p>
    <w:p>
      <w:r>
        <w:t>CAGEPREV</w:t>
      </w:r>
    </w:p>
    <w:p>
      <w:r>
        <w:t>S4</w:t>
      </w:r>
    </w:p>
    <w:p>
      <w:r>
        <w:t>CAPITAL PREV</w:t>
      </w:r>
    </w:p>
    <w:p>
      <w:r>
        <w:t>S4</w:t>
      </w:r>
    </w:p>
    <w:p>
      <w:r>
        <w:t>CAPOF</w:t>
      </w:r>
    </w:p>
    <w:p>
      <w:r>
        <w:t>S4</w:t>
      </w:r>
    </w:p>
    <w:p>
      <w:r>
        <w:t>CASANPREV</w:t>
      </w:r>
    </w:p>
    <w:p>
      <w:r>
        <w:t>S4</w:t>
      </w:r>
    </w:p>
    <w:p>
      <w:r>
        <w:t>CE-PREVCOM</w:t>
      </w:r>
    </w:p>
    <w:p>
      <w:r>
        <w:t>S4</w:t>
      </w:r>
    </w:p>
    <w:p>
      <w:r>
        <w:t>CIASPREV</w:t>
      </w:r>
    </w:p>
    <w:p>
      <w:r>
        <w:t>S4</w:t>
      </w:r>
    </w:p>
    <w:p>
      <w:r>
        <w:t>CIFRAO</w:t>
      </w:r>
    </w:p>
    <w:p>
      <w:r>
        <w:t>S4</w:t>
      </w:r>
    </w:p>
    <w:p>
      <w:r>
        <w:t>CURITIBAPREV</w:t>
      </w:r>
    </w:p>
    <w:p>
      <w:r>
        <w:t>S4</w:t>
      </w:r>
    </w:p>
    <w:p>
      <w:r>
        <w:t>DANAPREV</w:t>
      </w:r>
    </w:p>
    <w:p>
      <w:r>
        <w:t>S4</w:t>
      </w:r>
    </w:p>
    <w:p>
      <w:r>
        <w:t>DATUSPREV</w:t>
      </w:r>
    </w:p>
    <w:p>
      <w:r>
        <w:t>S4</w:t>
      </w:r>
    </w:p>
    <w:p>
      <w:r>
        <w:t>DERMINAS</w:t>
      </w:r>
    </w:p>
    <w:p>
      <w:r>
        <w:t>S4</w:t>
      </w:r>
    </w:p>
    <w:p>
      <w:r>
        <w:t>DF-PREVICOM</w:t>
      </w:r>
    </w:p>
    <w:p>
      <w:r>
        <w:t>S4</w:t>
      </w:r>
    </w:p>
    <w:p>
      <w:r>
        <w:t>FAPECE</w:t>
      </w:r>
    </w:p>
    <w:p>
      <w:r>
        <w:t>S4</w:t>
      </w:r>
    </w:p>
    <w:p>
      <w:r>
        <w:t>FUCAP</w:t>
      </w:r>
    </w:p>
    <w:p>
      <w:r>
        <w:t>S4</w:t>
      </w:r>
    </w:p>
    <w:p>
      <w:r>
        <w:t>FUMPRESC</w:t>
      </w:r>
    </w:p>
    <w:p>
      <w:r>
        <w:t>S4</w:t>
      </w:r>
    </w:p>
    <w:p>
      <w:r>
        <w:t>FUNCASAL</w:t>
      </w:r>
    </w:p>
    <w:p>
      <w:r>
        <w:t>S4</w:t>
      </w:r>
    </w:p>
    <w:p>
      <w:r>
        <w:t>FUND. BRASILSAT</w:t>
      </w:r>
    </w:p>
    <w:p>
      <w:r>
        <w:t>S4</w:t>
      </w:r>
    </w:p>
    <w:p>
      <w:r>
        <w:t>GASIUS</w:t>
      </w:r>
    </w:p>
    <w:p>
      <w:r>
        <w:t>S4</w:t>
      </w:r>
    </w:p>
    <w:p>
      <w:r>
        <w:t>GEIPREV</w:t>
      </w:r>
    </w:p>
    <w:p>
      <w:r>
        <w:t>S4</w:t>
      </w:r>
    </w:p>
    <w:p>
      <w:r>
        <w:t>LILLYPREV</w:t>
      </w:r>
    </w:p>
    <w:p>
      <w:r>
        <w:t>S4</w:t>
      </w:r>
    </w:p>
    <w:p>
      <w:r>
        <w:t>MAIS FUTURO</w:t>
      </w:r>
    </w:p>
    <w:p>
      <w:r>
        <w:t>S4</w:t>
      </w:r>
    </w:p>
    <w:p>
      <w:r>
        <w:t>MERCERPREV</w:t>
      </w:r>
    </w:p>
    <w:p>
      <w:r>
        <w:t>S4</w:t>
      </w:r>
    </w:p>
    <w:p>
      <w:r>
        <w:t>MM PREV</w:t>
      </w:r>
    </w:p>
    <w:p>
      <w:r>
        <w:t>S4</w:t>
      </w:r>
    </w:p>
    <w:p>
      <w:r>
        <w:t>MONGERAL</w:t>
      </w:r>
    </w:p>
    <w:p>
      <w:r>
        <w:t>S4</w:t>
      </w:r>
    </w:p>
    <w:p>
      <w:r>
        <w:t>MÚTUOPREV</w:t>
      </w:r>
    </w:p>
    <w:p>
      <w:r>
        <w:t>S4</w:t>
      </w:r>
    </w:p>
    <w:p>
      <w:r>
        <w:t>OABPREV-GO</w:t>
      </w:r>
    </w:p>
    <w:p>
      <w:r>
        <w:t>S4</w:t>
      </w:r>
    </w:p>
    <w:p>
      <w:r>
        <w:t>OABPREVNORDESTE</w:t>
      </w:r>
    </w:p>
    <w:p>
      <w:r>
        <w:t>S4</w:t>
      </w:r>
    </w:p>
    <w:p>
      <w:r>
        <w:t>OABPREV-RJ</w:t>
      </w:r>
    </w:p>
    <w:p>
      <w:r>
        <w:t>S4</w:t>
      </w:r>
    </w:p>
    <w:p>
      <w:r>
        <w:t>OABPREV-RS</w:t>
      </w:r>
    </w:p>
    <w:p>
      <w:r>
        <w:t>S4</w:t>
      </w:r>
    </w:p>
    <w:p>
      <w:r>
        <w:t>OABPREV-SC</w:t>
      </w:r>
    </w:p>
    <w:p>
      <w:r>
        <w:t>S4</w:t>
      </w:r>
    </w:p>
    <w:p>
      <w:r>
        <w:t>ORIUS</w:t>
      </w:r>
    </w:p>
    <w:p>
      <w:r>
        <w:t>S4</w:t>
      </w:r>
    </w:p>
    <w:p>
      <w:r>
        <w:t>PREVBEP</w:t>
      </w:r>
    </w:p>
    <w:p>
      <w:r>
        <w:t>S4</w:t>
      </w:r>
    </w:p>
    <w:p>
      <w:r>
        <w:t>PREVCOM-BRC</w:t>
      </w:r>
    </w:p>
    <w:p>
      <w:r>
        <w:t>S4</w:t>
      </w:r>
    </w:p>
    <w:p>
      <w:r>
        <w:t>PREVCOM-MG</w:t>
      </w:r>
    </w:p>
    <w:p>
      <w:r>
        <w:t>S4</w:t>
      </w:r>
    </w:p>
    <w:p>
      <w:r>
        <w:t>PREVCUMMINS</w:t>
      </w:r>
    </w:p>
    <w:p>
      <w:r>
        <w:t>S4</w:t>
      </w:r>
    </w:p>
    <w:p>
      <w:r>
        <w:t>PREVEME II</w:t>
      </w:r>
    </w:p>
    <w:p>
      <w:r>
        <w:t>S4</w:t>
      </w:r>
    </w:p>
    <w:p>
      <w:r>
        <w:t>PREVES</w:t>
      </w:r>
    </w:p>
    <w:p>
      <w:r>
        <w:t>S4</w:t>
      </w:r>
    </w:p>
    <w:p>
      <w:r>
        <w:t>PREVHAB</w:t>
      </w:r>
    </w:p>
    <w:p>
      <w:r>
        <w:t>S4</w:t>
      </w:r>
    </w:p>
    <w:p>
      <w:r>
        <w:t>PREVICEL</w:t>
      </w:r>
    </w:p>
    <w:p>
      <w:r>
        <w:t>S4</w:t>
      </w:r>
    </w:p>
    <w:p>
      <w:r>
        <w:t>PREVIK</w:t>
      </w:r>
    </w:p>
    <w:p>
      <w:r>
        <w:t>S4</w:t>
      </w:r>
    </w:p>
    <w:p>
      <w:r>
        <w:t>PREVIP</w:t>
      </w:r>
    </w:p>
    <w:p>
      <w:r>
        <w:t>S4</w:t>
      </w:r>
    </w:p>
    <w:p>
      <w:r>
        <w:t>PREVISCANIA</w:t>
      </w:r>
    </w:p>
    <w:p>
      <w:r>
        <w:t>S4</w:t>
      </w:r>
    </w:p>
    <w:p>
      <w:r>
        <w:t>PREVISTIHL</w:t>
      </w:r>
    </w:p>
    <w:p>
      <w:r>
        <w:t>S4</w:t>
      </w:r>
    </w:p>
    <w:p>
      <w:r>
        <w:t>PREVSOMPO</w:t>
      </w:r>
    </w:p>
    <w:p>
      <w:r>
        <w:t>S4</w:t>
      </w:r>
    </w:p>
    <w:p>
      <w:r>
        <w:t>PREVUNISUL</w:t>
      </w:r>
    </w:p>
    <w:p>
      <w:r>
        <w:t>S4</w:t>
      </w:r>
    </w:p>
    <w:p>
      <w:r>
        <w:t>RBS PREV</w:t>
      </w:r>
    </w:p>
    <w:p>
      <w:r>
        <w:t>S4</w:t>
      </w:r>
    </w:p>
    <w:p>
      <w:r>
        <w:t>RECKITTPREV</w:t>
      </w:r>
    </w:p>
    <w:p>
      <w:r>
        <w:t>S4</w:t>
      </w:r>
    </w:p>
    <w:p>
      <w:r>
        <w:t>RJPREV</w:t>
      </w:r>
    </w:p>
    <w:p>
      <w:r>
        <w:t>S4</w:t>
      </w:r>
    </w:p>
    <w:p>
      <w:r>
        <w:t>RS-PREV</w:t>
      </w:r>
    </w:p>
    <w:p>
      <w:r>
        <w:t>S4</w:t>
      </w:r>
    </w:p>
    <w:p>
      <w:r>
        <w:t>SBOTPREV</w:t>
      </w:r>
    </w:p>
    <w:p>
      <w:r>
        <w:t>S4</w:t>
      </w:r>
    </w:p>
    <w:p>
      <w:r>
        <w:t>SIAS</w:t>
      </w:r>
    </w:p>
    <w:p>
      <w:r>
        <w:t>S4</w:t>
      </w:r>
    </w:p>
    <w:p>
      <w:r>
        <w:t>SILIUS</w:t>
      </w:r>
    </w:p>
    <w:p>
      <w:r>
        <w:t>S4</w:t>
      </w:r>
    </w:p>
    <w:p>
      <w:r>
        <w:t>SOMUPP</w:t>
      </w:r>
    </w:p>
    <w:p>
      <w:r>
        <w:t>S4</w:t>
      </w:r>
    </w:p>
    <w:p>
      <w:r>
        <w:t>SUL PREVIDÊNCIA</w:t>
      </w:r>
    </w:p>
    <w:p>
      <w:r>
        <w:t>S4</w:t>
      </w:r>
    </w:p>
    <w:p>
      <w:r>
        <w:t>TETRA PAK PREV</w:t>
      </w:r>
    </w:p>
    <w:p>
      <w:r>
        <w:t>S4</w:t>
      </w:r>
    </w:p>
    <w:p>
      <w:r>
        <w:t>TEXPREV</w:t>
      </w:r>
    </w:p>
    <w:p>
      <w:r>
        <w:t>S4</w:t>
      </w:r>
    </w:p>
    <w:p>
      <w:r>
        <w:t>TOYOTA PREVI</w:t>
      </w:r>
    </w:p>
    <w:p>
      <w:r>
        <w:t>S4</w:t>
      </w:r>
    </w:p>
    <w:p>
      <w:r>
        <w:t>TRAMONTINAPREV</w:t>
      </w:r>
    </w:p>
    <w:p>
      <w:r>
        <w:t>S4</w:t>
      </w:r>
    </w:p>
    <w:p>
      <w:r>
        <w:t>UNIPREVI</w:t>
      </w:r>
    </w:p>
    <w:p>
      <w:r>
        <w:t>S4</w:t>
      </w:r>
    </w:p>
    <w:p>
      <w:r>
        <w:t>UNISYS-PREVI</w:t>
      </w:r>
    </w:p>
    <w:p>
      <w:r>
        <w:t>S4</w:t>
      </w:r>
    </w:p>
    <w:p>
      <w:r>
        <w:t>VBPP</w:t>
      </w:r>
    </w:p>
    <w:p>
      <w:r>
        <w:t>S4</w:t>
      </w:r>
    </w:p>
    <w:p>
      <w:r>
        <w:t>VOITH PREV</w:t>
      </w:r>
    </w:p>
    <w:p>
      <w:r>
        <w:t>S4</w:t>
      </w:r>
    </w:p>
    <w:p>
      <w:r>
        <w:t>Republicada por ter saído, no DOU nº 163, de 28/08/2028, Seção 1, página 126, com incorreção no original.</w:t>
      </w:r>
    </w:p>
    <w:p>
      <w:pPr>
        <w:pStyle w:val="Heading2"/>
      </w:pPr>
      <w:r>
        <w:t>Portaria Previc Nº 666, DE 26 DE agosto DE 2026</w:t>
      </w:r>
    </w:p>
    <w:p>
      <w:r>
        <w:t>Categoria: Ministério da Previdência Social/Superintendência Nacional de Previdência Complementar/Diretoria de Licenciamento</w:t>
      </w:r>
    </w:p>
    <w:p>
      <w:r>
        <w:t>Página: 58</w:t>
      </w:r>
    </w:p>
    <w:p/>
    <w:p>
      <w:r>
        <w:t>Portaria Previc Nº 666, DE 26 DE agosto DE 2026</w:t>
      </w:r>
    </w:p>
    <w:p>
      <w:r>
        <w:t>O DIRETOR DE LICENCIAMENTO, no uso das atribuições que lhe confere a alínea "d" do inciso I do art. 16 do Decreto nº 11.241, de 18 de outubro de 2022, e considerando as manifestações técnicas exaradas no Processo nº 44011.002136/2026-48, resolve:</w:t>
      </w:r>
    </w:p>
    <w:p>
      <w:r>
        <w:t>Art. 1º Aprovar o convênio de adesão celebrado entre a Associação Brasileira das Entidades Fechadas de Previdência Complementar - ABRAPP, CNPJ nº 50.258.623/0001-37, na condição de instituidora do Plano CAPESESP Futuro Prev Família, CNPB nº 2022.0002-18, e a Caixa de Previdência e Assistência dos Servidores da Fundação Nacional de Saúde - CAPESESP, CNPJ nº 30.036.685/0001-97, na condição de entidade fechada de previdência complementar responsável pela administração do referido plano.</w:t>
      </w:r>
    </w:p>
    <w:p>
      <w:r>
        <w:t>Art. 2º Estabelecer o prazo de até 180 (cento e oitenta) dias para o início da operacionalização do convênio de adesão, contados a partir da data de publicação desta Portaria, sob pena de cancelamento da autorização concedida.</w:t>
      </w:r>
    </w:p>
    <w:p>
      <w:r>
        <w:t>Art. 3º Esta Portaria entra em vigor na data de sua publicação.</w:t>
      </w:r>
    </w:p>
    <w:p>
      <w:r>
        <w:t>Guilherme Capriata Vaccaro Campelo Bezerra</w:t>
      </w:r>
    </w:p>
    <w:p>
      <w:pPr>
        <w:pStyle w:val="Heading2"/>
      </w:pPr>
      <w:r>
        <w:t>ATO DECLARATÓRIO EXECUTIVO SRRF04 Nº 9, DE 27 DE AGOSTO DE 2026</w:t>
      </w:r>
    </w:p>
    <w:p>
      <w:pPr>
        <w:pStyle w:val="ListBullet"/>
      </w:pPr>
      <w:r>
        <w:t>Ementa: Declara alfandegados os tanques que menciona, nos termos e condições normativos vigentes.</w:t>
      </w:r>
    </w:p>
    <w:p>
      <w:r>
        <w:t>Categoria: Ministério da Fazenda/Secretaria Especial da Receita Federal do Brasil/Secretaria-Adjunta/Superintendência Regional da Receita Federal do Brasil 4ª Região Fiscal</w:t>
      </w:r>
    </w:p>
    <w:p>
      <w:r>
        <w:t>Página: 22</w:t>
      </w:r>
    </w:p>
    <w:p/>
    <w:p>
      <w:r>
        <w:t>ATO DECLARATÓRIO EXECUTIVO SRRF04 Nº 9, DE 27 DE AGOSTO DE 2026</w:t>
      </w:r>
    </w:p>
    <w:p>
      <w:r>
        <w:t>Declara alfandegados os tanques que menciona, nos termos e condições normativos vigentes.</w:t>
      </w:r>
    </w:p>
    <w:p>
      <w:r>
        <w:t>A SUPERINTENDENTE DA SECRETARIA DA RECEITA FEDERAL DO BRASIL na 4ª REGIÃO FISCAL, no uso da atribuição que lhe confere o inciso VI do art. 359 do Regimento Interno da Secretaria Especial da Receita Federal do Brasil (RFB), aprovado pela Portaria ME nº 284, de 27 de julho de 2020, e tendo em vista o disposto no inciso I do art. 31 da Portaria RFB nº 143, de 11 de fevereiro de 2022, nos arts. 14 e 15 da Portaria Coana nº 76, de 13 de maio de 2022, e à vista do que consta nos Processos Administrativos n.ºs 10480.001063/96-42 e 13083.049224/2026-36, declara:</w:t>
      </w:r>
    </w:p>
    <w:p>
      <w:r>
        <w:t>Art. 1º Ficam alfandegados, até 18/12/2027, os 44 (quarenta e quatro) tanques da instalação portuária de uso público, situada no Porto Organizado de Suape, na Av. Portuária S/N, Município de Ipojuca, Estado de Pernambuco, posição georreferenciada -8.395308, -34.971928, administrada pela Ultracargo Logística S.A., inscrita no CNPJ sob o nº 14.688.220/0005-98, composta dos tanques cilíndricos destinados a armazenagem de granel líquido números TQ-1001, TQ-1002, TQ-1003, TQ-1004, TQ-1005, TQ-1006, TQ-1007, TQ-1008, TQ-1009, TQ-1010, TQ-1013, TQ-1015, TQ-1016, TQ-1017, TQ-1018 , TQ-3001, TQ-3002, TQ-3003, TQ-3004, TQ-3005, TQ-3006, TQ-3007, TQ-3008, TQ-3011, TQ-3012, TQ-3013, TQ-3014, TQ-3015, TQ-3016, TQ-3017, TQ-3018, TQ-3019, TQ-3020, TQ-3021, TQ-3031, TQ-3032, TQ-3033, TQ-3034, TQ-3035, TQ-3036, TQ-3051, TQ-3052, TQ-3053 e da esfera EF-3601, destinada a armazenagem de granel gasoso, com capacidade total de 200.078 m³, observados os termos e condições da legislação aplicável.</w:t>
      </w:r>
    </w:p>
    <w:p>
      <w:r>
        <w:t>Art. 2º O recinto alfandegado poderá movimentar e armazenar granéis líquidos e gasosos nas operações aduaneiras previstas pelos incisos I a III do parágrafo 1º do art. 32 da Portaria RFB nº 143, de 2022.</w:t>
      </w:r>
    </w:p>
    <w:p>
      <w:r>
        <w:t>Art. 3º Para utilização no SISCOMEX, fica mantido o código 4932201 ao recinto, sob a jurisdição da Inspetoria do Porto de Suape, que exercerá a fiscalização aduaneira de forma ininterrupta, podendo estabelecer as rotinas operacionais necessárias ao controle aduaneiro.</w:t>
      </w:r>
    </w:p>
    <w:p>
      <w:r>
        <w:t>Art. 4º Sem prejuízo de eventuais penalidades cabíveis, este alfandegamento poderá ser suspenso ou cancelado por aplicação de sanção administrativa, bem como poderá ser extinto a pedido do interessado.</w:t>
      </w:r>
    </w:p>
    <w:p>
      <w:r>
        <w:t>Art. 5º Fica revogado o Ato Declaratório Executivo SRRF04 nº 6, de 27 de maio de 2011.</w:t>
      </w:r>
    </w:p>
    <w:p>
      <w:r>
        <w:t>Art. 6º Este Ato Declaratório Executivo entra em vigor na data de sua publicação no Diário Oficial da União.</w:t>
      </w:r>
    </w:p>
    <w:p>
      <w:r>
        <w:t>MYRELLE DOS SANTOS MOREIRA MIRANDA</w:t>
      </w:r>
    </w:p>
    <w:p>
      <w:pPr>
        <w:pStyle w:val="Heading2"/>
      </w:pPr>
      <w:r>
        <w:t>PAUTA DE JULGAMENTO</w:t>
      </w:r>
    </w:p>
    <w:p>
      <w:r>
        <w:t>Categoria: Ministério da Fazenda/Secretaria Especial da Receita Federal do Brasil/Secretaria-Adjunta/Subsecretaria de Tributação e Contencioso/Delegacia de Julgamento da Receita Federal do Brasil 09/Décima Quinta Turma</w:t>
      </w:r>
    </w:p>
    <w:p>
      <w:r>
        <w:t>Página: 20</w:t>
      </w:r>
    </w:p>
    <w:p/>
    <w:p>
      <w:r>
        <w:t>PAUTA DE JULGAMENTO</w:t>
      </w:r>
    </w:p>
    <w:p>
      <w:r>
        <w:t>Período da Reunião de 09/09/2026 a 09/09/2026</w:t>
      </w:r>
    </w:p>
    <w:p>
      <w:r>
        <w:t>Pauta de julgamento das impugnações/manifestações de inconformidade das sessões ordinárias da 15 Turma da DRJ09 a serem realizadas nas datas a seguir mencionadas.</w:t>
      </w:r>
    </w:p>
    <w:p>
      <w:r>
        <w:t>OBSERVAÇÕES:</w:t>
      </w:r>
    </w:p>
    <w:p>
      <w:r>
        <w:t>1)Após a publicação da pauta de julgamento no DOU, você poderá enviar o vídeo / áudio contendo a sustentação oral ou arquivo de texto contendo memorial em até 5 dias da publicação da pauta de julgamento no DOU.</w:t>
      </w:r>
    </w:p>
    <w:p>
      <w:r>
        <w:t>2)A apresentação da sustentação oral deverá ser realizada por meio de gravação de vídeo ou áudio enviado através da funcionalidade Participar de Reunião de Julgamento, em Processos Digitais, no e-CAC da Receita Federal.</w:t>
      </w:r>
    </w:p>
    <w:p>
      <w:r>
        <w:t>3)Caso o patrono não tenha procuração / substabelecimento para realizar sustentação oral, favor juntá-lo aos autos.</w:t>
      </w:r>
    </w:p>
    <w:p>
      <w:r>
        <w:t>4) A aceitação da sustentação oral pleiteada está condicionada ao cumprimento dos requisitos e prazos estabelecidos na Portaria RFB nº 309, de 03/04/2023 e alterações posteriores, em especial, no que se refere à tempestividade da juntada do vídeo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9 de Setembro de 2026, ÀS 09:00 HORAS</w:t>
      </w:r>
    </w:p>
    <w:p>
      <w:r>
        <w:t>Relator(a): SILVIA AKIKO YANASE</w:t>
      </w:r>
    </w:p>
    <w:p>
      <w:r>
        <w:t>1 - Processo nº: 10880.950679/2011-36 - Recorrente: BUNGE BRASIL S.A. e Interessado: FAZENDA NACIONAL</w:t>
      </w:r>
    </w:p>
    <w:p>
      <w:r>
        <w:t>2 - Processo nº: 11000.725342/2025-19 - Recorrente: LOJAS RENNER S.A. e Interessado: FAZENDA NACIONAL</w:t>
      </w:r>
    </w:p>
    <w:p>
      <w:r>
        <w:t>3 - Processo nº: 11000.725346/2025-05 - Recorrente: LOJAS RENNER S.A. e Interessado: FAZENDA NACIONAL</w:t>
      </w:r>
    </w:p>
    <w:p>
      <w:r>
        <w:t>Relator(a): RICARDO RODOLFO PERING</w:t>
      </w:r>
    </w:p>
    <w:p>
      <w:r>
        <w:t>4 - Processo nº: 10882.912424/2024-70 - Recorrente: AZUL LINHAS AEREAS BRASILEIRAS S.A. e Interessado: FAZENDA NACIONAL</w:t>
      </w:r>
    </w:p>
    <w:p>
      <w:r>
        <w:t>5 - Processo nº: 10882.912426/2024-69 - Recorrente: AZUL LINHAS AEREAS BRASILEIRAS S.A. e Interessado: FAZENDA NACIONAL</w:t>
      </w:r>
    </w:p>
    <w:p>
      <w:r>
        <w:t>6 - Processo nº: 10882.912428/2024-58 - Recorrente: AZUL LINHAS AEREAS BRASILEIRAS S.A. e Interessado: FAZENDA NACIONAL</w:t>
      </w:r>
    </w:p>
    <w:p>
      <w:r>
        <w:t>7 - Processo nº: 10882.912430/2024-27 - Recorrente: AZUL LINHAS AEREAS BRASILEIRAS S.A. e Interessado: FAZENDA NACIONAL</w:t>
      </w:r>
    </w:p>
    <w:p>
      <w:r>
        <w:t>8 - Processo nº: 10882.916811/2025-66 - Recorrente: AZUL LINHAS AEREAS BRASILEIRAS S.A. e Interessado: FAZENDA NACIONAL</w:t>
      </w:r>
    </w:p>
    <w:p>
      <w:r>
        <w:t>9 - Processo nº: 10882.916813/2025-55 - Recorrente: AZUL LINHAS AEREAS BRASILEIRAS S.A. e Interessado: FAZENDA NACIONAL</w:t>
      </w:r>
    </w:p>
    <w:p>
      <w:r>
        <w:t>10 - Processo nº: 10882.916815/2025-44 - Recorrente: AZUL LINHAS AEREAS BRASILEIRAS S.A. e Interessado: FAZENDA NACIONAL</w:t>
      </w:r>
    </w:p>
    <w:p>
      <w:r>
        <w:t>11 - Processo nº: 10882.916817/2025-33 - Recorrente: AZUL LINHAS AEREAS BRASILEIRAS S.A. e Interessado: FAZENDA NACIONAL</w:t>
      </w:r>
    </w:p>
    <w:p>
      <w:r>
        <w:t>12 - Processo nº: 10882.916819/2025-22 - Recorrente: AZUL LINHAS AEREAS BRASILEIRAS S.A. e Interessado: FAZENDA NACIONAL</w:t>
      </w:r>
    </w:p>
    <w:p>
      <w:r>
        <w:t>13 - Processo nº: 10882.916821/2025-00 - Recorrente: AZUL LINHAS AEREAS BRASILEIRAS S.A. e Interessado: FAZENDA NACIONAL</w:t>
      </w:r>
    </w:p>
    <w:p>
      <w:r>
        <w:t>Silvia Akiko Yanase</w:t>
      </w:r>
    </w:p>
    <w:p>
      <w:r>
        <w:t>Presidente da Turma</w:t>
      </w:r>
    </w:p>
    <w:p>
      <w:pPr>
        <w:pStyle w:val="Heading2"/>
      </w:pPr>
      <w:r>
        <w:t>ATO DECLARATÓRIO EXECUTIVO DECEX/SPO Nº 89, DE 28 DE AGOSTO DE 2026</w:t>
      </w:r>
    </w:p>
    <w:p>
      <w:pPr>
        <w:pStyle w:val="ListBullet"/>
      </w:pPr>
      <w:r>
        <w:t>Ementa: Certifica como Operador Econômico Autorizado a empresa que especifica.</w:t>
      </w:r>
    </w:p>
    <w:p>
      <w:r>
        <w:t>Categoria: Ministério da Fazenda/Secretaria Especial da Receita Federal do Brasil/Secretaria-Adjunta/Superintendência Regional da Receita Federal do Brasil 8ª Região Fiscal/Delegacia de Fiscalização de Comércio Exterior da Receita Federal do Brasil em São Paulo/Equipe de Gestão de Operadores Econômicos Autorizados</w:t>
      </w:r>
    </w:p>
    <w:p>
      <w:r>
        <w:t>Página: 24</w:t>
      </w:r>
    </w:p>
    <w:p/>
    <w:p>
      <w:r>
        <w:t>ATO DECLARATÓRIO EXECUTIVO DECEX/SPO Nº 89, DE 28 DE AGOSTO DE 2026</w:t>
      </w:r>
    </w:p>
    <w:p>
      <w:r>
        <w:t>Certifica como Operador Econômico Autorizado a empresa que especifica.</w:t>
      </w:r>
    </w:p>
    <w:p>
      <w:r>
        <w:t>A Auditora-Fiscal da Receita Federal do Brasil, lotada na Equipe de Gestão de Operadores Econômicos Autorizados da Delegacia de Fiscalização de Comércio Exterior da Receita Federal do Brasil em São Paulo - DECEX/SPO, instituída por meio da Portaria ME nº 284, de 27 de julho de 2020, no uso da atribuição que lhe confere o art. 27 da Instrução Normativa RFB nº 2.318, de 26 de março de 2026, e tendo em vista o que consta no Requerimento nº 22981 do Sistema OEA, módulo do Portal Único do Siscomex, resolve:</w:t>
      </w:r>
    </w:p>
    <w:p>
      <w:r>
        <w:t>Art. 1º. Certificar como Operador Econômico Autorizado, em caráter precário, com prazo de validade indeterminado, na modalidade OEA-Conformidade, nível OEA - C Qualificado, como Importador, Exportador, a empresa VARIAN MEDICAL SYSTEMS BRASIL LTDA, inscrita no CNPJ sob o nº 03.009.915/0001-56.</w:t>
      </w:r>
    </w:p>
    <w:p>
      <w:r>
        <w:t>Art. 2º. Esta certificação é extensiva a todos os estabelecimentos da empresa supracitada.</w:t>
      </w:r>
    </w:p>
    <w:p>
      <w:r>
        <w:t>Art. 3º Este Ato Declaratório Executivo entra em vigor na data de sua publicação no Diário Oficial da União.</w:t>
      </w:r>
    </w:p>
    <w:p>
      <w:r>
        <w:t>LUCIANA COUTO DA COSTA CARVALHO</w:t>
      </w:r>
    </w:p>
    <w:p>
      <w:pPr>
        <w:pStyle w:val="Heading2"/>
      </w:pPr>
      <w:r>
        <w:t>PORTARIA ALF/STS Nº 211, DE 28 DE AGOSTO DE 2026</w:t>
      </w:r>
    </w:p>
    <w:p>
      <w:pPr>
        <w:pStyle w:val="ListBullet"/>
      </w:pPr>
      <w:r>
        <w:t>Ementa: Altera a Portaria ALF/STS n° 209, de 30 de julho de 2026, que dispõe sobre os prazos para a solicitação de transferências de cargas dos recintos dos operadores portuários para os recintos alfandegados da jurisdição da Alfândega da Receita Federal do Brasil do Porto de Santos e dá outras providências.</w:t>
      </w:r>
    </w:p>
    <w:p>
      <w:r>
        <w:t>Categoria: Ministério da Fazenda/Secretaria Especial da Receita Federal do Brasil/Secretaria-Adjunta/Superintendência Regional da Receita Federal do Brasil 8ª Região Fiscal/Alfândega da Receita Federal do Brasil no Porto de Santos</w:t>
      </w:r>
    </w:p>
    <w:p>
      <w:r>
        <w:t>Página: 23</w:t>
      </w:r>
    </w:p>
    <w:p/>
    <w:p>
      <w:r>
        <w:t>PORTARIA ALF/STS Nº 211, DE 28 DE AGOSTO DE 2026</w:t>
      </w:r>
    </w:p>
    <w:p>
      <w:r>
        <w:t>Altera a Portaria ALF/STS n° 209, de 30 de julho de 2026, que dispõe sobre os prazos para a solicitação de transferências de cargas dos recintos dos operadores portuários para os recintos alfandegados da jurisdição da Alfândega da Receita Federal do Brasil do Porto de Santos e dá outras providências.</w:t>
      </w:r>
    </w:p>
    <w:p>
      <w:r>
        <w:t>O DELEGADO DA ALFÂNDEGA DA RECEITA FEDERAL DO BRASIL DO PORTO DE SANTOS, no uso das atribuições que lhe conferem os arts. 336 e 360 do Regimento Interno da Secretaria da Receita Federal do Brasil (RFB), aprovado pela Portaria MF nº 284, de 27 de julho de 2020, e tendo em vista o disposto no parágrafo único do art. 336 do Decreto n° 6.759, de 5 de fevereiro de 2009, nos incisos I e IV do caput do art. 4° e no art. 71 da Instrução Normativa RFB n° 248, de 25 de novembro de 2002, e no Ato Declaratório Executivo Coana n° 120, de 5 de dezembro de 2002, resolve:</w:t>
      </w:r>
    </w:p>
    <w:p>
      <w:r>
        <w:t>Art. 1° Os arts. 1° e 4° da Portaria ALF/STS n° 209, de 30 de julho de 2026, passam a vigorar com a seguinte redação</w:t>
      </w:r>
    </w:p>
    <w:p>
      <w:r>
        <w:t>"Art. 1° ......................................................................................</w:t>
      </w:r>
    </w:p>
    <w:p>
      <w:r>
        <w:t>...................................................................................................</w:t>
      </w:r>
    </w:p>
    <w:p>
      <w:r>
        <w:t>§ 1° Sem prejuízo do disposto no § 14, será permitida a apresentação de uma única solicitação complementar até dois dias úteis contados a partir da data da previsão de atracação ou da atracação efetiva, se esta for posterior.</w:t>
      </w:r>
    </w:p>
    <w:p>
      <w:r>
        <w:t>§ 2° As cargas cuja solicitação de transferência seja enviada em conformidade com este artigo terão, nos termos dos incisos I e IV do caput do art. 4° da Instrução Normativa RFB n° 248, de 2002, tratamento de carga pátio enquanto não forem armazenadas ou recepcionadas na forma prevista nos §§ 10 e 11.</w:t>
      </w:r>
    </w:p>
    <w:p>
      <w:r>
        <w:t>§ 3° Nos termos do § 3° do art. 71 da Instrução Normativa RFB n° 248, de 2002, o prazo para que o transportador do recinto alfandegado de destino compareça para a retirada da carga é de 48 (quarenta e oito) horas, considerado somente o tempo decorrido em dias úteis, a partir da disponibilização da carga para entrega, mediante a oferta de janelas de agendamento.</w:t>
      </w:r>
    </w:p>
    <w:p>
      <w:r>
        <w:t>§ 4° Se o sistema de agendamento do operador portuário não apresentar as informações das cargas que poderão ser retiradas, o prazo de que trata o § 3° será contado a partir do final da operação da embarcação.</w:t>
      </w:r>
    </w:p>
    <w:p>
      <w:r>
        <w:t>§ 5° Na hipótese de que trata o § 4°, quando houver cargas de mais de uma embarcação na área pátio, sem que o sistema de agendamento do operador portuário as discrimine por embarcação, deverão ser entregues primeiro as cargas da embarcação cuja operação de descarga seja concluída antes ou, alternativamente, deverá ser considerado como termo inicial do prazo de que trata o § 3° o término da última operação de descarga.</w:t>
      </w:r>
    </w:p>
    <w:p>
      <w:r>
        <w:t>§ 6° O operador portuário deverá disponibilizar, de forma contínua, proporcional e uniforme, quantidade suficiente de janelas de agendamento com o fim de possibilitar a retirada das cargas pelos recintos alfandegados no prazo de que trata o § 3°.</w:t>
      </w:r>
    </w:p>
    <w:p>
      <w:r>
        <w:t>§ 7° A suspensão das janelas de agendamento pelo operador portuário implicará a suspensão, pelo mesmo período, do prazo de que trata o § 3°.</w:t>
      </w:r>
    </w:p>
    <w:p>
      <w:r>
        <w:t>§ 8° O operador portuário deverá disponibilizar remotamente aos recintos alfandegados todas as informações necessárias à correta contagem do prazo de que trata o § 3° e ao acompanhamento das janelas de agendamento.</w:t>
      </w:r>
    </w:p>
    <w:p>
      <w:r>
        <w:t>§ 9° O operador portuário poderá, por questões de segurança, determinação regulatória ou necessidade operacional, manter a carga em área pátio por período superior ao de que trata o § 3°.</w:t>
      </w:r>
    </w:p>
    <w:p>
      <w:r>
        <w:t>§ 10 Excedido o prazo de que trata o § 3°, sem prejuízo do disposto no § 9°, se o transportador do recinto de destino não comparecer para a retirada da carga, esta deverá ser armazenada no recinto do operador portuário, nos termos do § 1° do art. 71 da Instrução Normativa RFB n° 248, de 2002.</w:t>
      </w:r>
    </w:p>
    <w:p>
      <w:r>
        <w:t>§ 11 Na situação de que trata o § 10, a carga somente será considerada armazenada após sua remoção para a área de armazenagem e a informação de sua presença ou recepção nos sistemas da RFB.</w:t>
      </w:r>
    </w:p>
    <w:p>
      <w:r>
        <w:t>§ 12 Enquanto não for informada a presença ou recepção da carga nos sistemas da RFB pelo recinto do operador portuário, a carga poderá ser retirada pelo recinto alfandegado de destino amparada pela solicitação de transferência anteriormente autorizada.</w:t>
      </w:r>
    </w:p>
    <w:p>
      <w:r>
        <w:t>§ 13 Nos casos em que o descumprimento do prazo previsto no § 3° ocorra somente em relação a parte do lote do conhecimento de transporte internacional, o operador portuário não deverá informar nos sistemas da RFB a presença ou recepção da carga do restante do lote.</w:t>
      </w:r>
    </w:p>
    <w:p>
      <w:r>
        <w:t>§ 14 As cargas que, até o momento de sua efetiva descarga, não tiverem ainda sido objeto de solicitação de transferência por nenhum recinto alfandegado poderão ser removidas de imediato para a área de armazenagem do recinto do operador portuário.</w:t>
      </w:r>
    </w:p>
    <w:p>
      <w:r>
        <w:t>§ 15 O disposto no § 14 não se aplica às cargas em que parte do lote a que pertencem já tenha sido objeto de solicitação de transferência.</w:t>
      </w:r>
    </w:p>
    <w:p>
      <w:r>
        <w:t>§ 16 Para fins desta portaria, considera-se recinto do operador portuário aquele em que ocorre a operação portuária de descarga das mercadorias da embarcação, ainda que esta operação seja realizada por terceiros.</w:t>
      </w:r>
    </w:p>
    <w:p>
      <w:r>
        <w:t>§ 17 Para fins desta portaria, consideram-se úteis os dias de segunda-feira a sábado, exceto os feriados nacionais e estaduais."</w:t>
      </w:r>
    </w:p>
    <w:p>
      <w:r>
        <w:t>"Art. 4° Esta portaria entrará em vigor a partir de 13 de outubro de 2026."</w:t>
      </w:r>
    </w:p>
    <w:p>
      <w:r>
        <w:t>Art. 2° Esta portaria entrará em vigor na data de sua publicação no Diário Oficial da União.</w:t>
      </w:r>
    </w:p>
    <w:p>
      <w:r>
        <w:t>RICHARD FERNANDO AMOEDO NEUBARTH</w:t>
      </w:r>
    </w:p>
    <w:p>
      <w:pPr>
        <w:pStyle w:val="Heading2"/>
      </w:pPr>
      <w:r>
        <w:t>PORTARIA SRRF08 Nº 1.267, DE 28 DE AGOSTO DE 2026</w:t>
      </w:r>
    </w:p>
    <w:p>
      <w:pPr>
        <w:pStyle w:val="ListBullet"/>
      </w:pPr>
      <w:r>
        <w:t>Ementa: Prorroga a Portaria SRRF08 N° 1.181 de 30 de janeiro de 2026.</w:t>
      </w:r>
    </w:p>
    <w:p>
      <w:r>
        <w:t>Categoria: Ministério da Fazenda/Secretaria Especial da Receita Federal do Brasil/Secretaria-Adjunta/Superintendência Regional da Receita Federal do Brasil 8ª Região Fiscal</w:t>
      </w:r>
    </w:p>
    <w:p>
      <w:r>
        <w:t>Página: 23</w:t>
      </w:r>
    </w:p>
    <w:p/>
    <w:p>
      <w:r>
        <w:t>PORTARIA SRRF08 Nº 1.267, DE 28 DE AGOSTO DE 2026</w:t>
      </w:r>
    </w:p>
    <w:p>
      <w:r>
        <w:t>Prorroga a Portaria SRRF08 N° 1.181 de 30 de janeiro de 2026.</w:t>
      </w:r>
    </w:p>
    <w:p>
      <w:r>
        <w:t>A SUPERINTENDENTE DA RECEITA FEDERAL DO BRASIL DA 8ª REGIÃO FISCAL, no uso da competência que lhe foi delegada pela Portaria RFB nº 641, de 28 de janeiro de 2026, publicada no DOU de 30 de janeiro de 2026, resolve:</w:t>
      </w:r>
    </w:p>
    <w:p>
      <w:r>
        <w:t>Art. 1º Fica prorrogada até 31 de dezembro de 2026, a Portaria SRRF08 N° 1.181 de 30 de janeiro de 2026, publicada no DOU n° 24, Seção 1, Página 25, de 04 de fevereiro de 2026;</w:t>
      </w:r>
    </w:p>
    <w:p>
      <w:r>
        <w:t>Art. 2º Fica revogada a Portaria SRRF08 N° 1.220 de 29 de abril de 2026, convalidando os atos praticados na sua vigência.</w:t>
      </w:r>
    </w:p>
    <w:p>
      <w:r>
        <w:t>Art. 3º Esta Portaria entra em vigor na data de sua publicação no Diário Oficial da União.</w:t>
      </w:r>
    </w:p>
    <w:p>
      <w:r>
        <w:t>MÁRCIA CECÍLIA MENG</w:t>
      </w:r>
    </w:p>
    <w:p>
      <w:pPr>
        <w:pStyle w:val="Heading2"/>
      </w:pPr>
      <w:r>
        <w:t>PAUTA DE JULGAMENTO</w:t>
      </w:r>
    </w:p>
    <w:p>
      <w:r>
        <w:t>Categoria: Ministério da Fazenda/Secretaria Especial da Receita Federal do Brasil/Secretaria-Adjunta/Subsecretaria de Tributação e Contencioso/Delegacia de Julgamento da Receita Federal do Brasil 01/Segunda Turma</w:t>
      </w:r>
    </w:p>
    <w:p>
      <w:r>
        <w:t>Página: 20</w:t>
      </w:r>
    </w:p>
    <w:p/>
    <w:p>
      <w:r>
        <w:t>PAUTA DE JULGAMENTO</w:t>
      </w:r>
    </w:p>
    <w:p>
      <w:r>
        <w:t>Período da Reunião de 10/09/2026 a 10/09/2026</w:t>
      </w:r>
    </w:p>
    <w:p>
      <w:r>
        <w:t>Pauta de julgamento das impugnações/manifestações de inconformidade das sessões ordinárias da 2 Turma da DRJ01 a serem realizadas nas datas a seguir mencionadas.</w:t>
      </w:r>
    </w:p>
    <w:p>
      <w:r>
        <w:t>OBSERVAÇÕES:</w:t>
      </w:r>
    </w:p>
    <w:p>
      <w:r>
        <w:t>1)Após a publicação da pauta de julgamento no DOU, você poderá enviar o vídeo / áudio contendo a sustentação oral ou arquivo de texto contendo memorial em até 5 dias da publicação da pauta de julgamento no DOU.</w:t>
      </w:r>
    </w:p>
    <w:p>
      <w:r>
        <w:t>2)A apresentação da sustentação oral deverá ser realizada por meio de gravação de vídeo ou áudio enviado através da funcionalidade Participar de Reunião de Julgamento, em Processos Digitais, no e-CAC da Receita Federal.</w:t>
      </w:r>
    </w:p>
    <w:p>
      <w:r>
        <w:t>3)Caso o patrono não tenha procuração / substabelecimento para realizar sustentação oral, favor juntá-lo aos autos.</w:t>
      </w:r>
    </w:p>
    <w:p>
      <w:r>
        <w:t>4) A aceitação da sustentação oral pleiteada está condicionada ao cumprimento dos requisitos e prazos estabelecidos na Portaria RFB nº 309, de 03/04/2023 e alterações posteriores, em especial, no que se refere à tempestividade da juntada do vídeo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10 de Setembro de 2026, ÀS 08:30 HORAS</w:t>
      </w:r>
    </w:p>
    <w:p>
      <w:r>
        <w:t>Relator(a): WAGNER DE OLIVEIRA CABRAL</w:t>
      </w:r>
    </w:p>
    <w:p>
      <w:r>
        <w:t>1 - Processo nº: 13074.756464/2025-19 - Recorrente: GTI - LOG S/A e Interessado: FAZENDA NACIONAL</w:t>
      </w:r>
    </w:p>
    <w:p>
      <w:r>
        <w:t>Relator(a): DIEGO VASCONCELOS LUCENA</w:t>
      </w:r>
    </w:p>
    <w:p>
      <w:r>
        <w:t>2 - Processo nº: 19555.726426/2021-81 - Recorrente: SINAL CONSTRUTORA LTDA e Interessado: FAZENDA NACIONAL</w:t>
      </w:r>
    </w:p>
    <w:p>
      <w:r>
        <w:t>Relator(a): ANDRE MENDES DE MOURA</w:t>
      </w:r>
    </w:p>
    <w:p>
      <w:r>
        <w:t>3 - Processo nº: 16327.721298/2024-28 - Recorrente: BNY MELLON SERVICOS FINANCEIROS DISTRIBUIDORA DE TITULOS E VALORES MOBILIARIOS S/A e Interessado: FAZENDA NACIONAL</w:t>
      </w:r>
    </w:p>
    <w:p>
      <w:r>
        <w:t>Relator(a): ALEXANDRE AKIO LAGE MARTINS IGARASHI</w:t>
      </w:r>
    </w:p>
    <w:p>
      <w:r>
        <w:t>4 - Processo nº: 13868.728109/2023-51 - Recorrente: ATACADAO S.A. e Interessado: FAZENDA NACIONAL</w:t>
      </w:r>
    </w:p>
    <w:p>
      <w:r>
        <w:t>Wagner de Oliveira Cabral</w:t>
      </w:r>
    </w:p>
    <w:p>
      <w:r>
        <w:t>Presidente da Turma</w:t>
      </w:r>
    </w:p>
    <w:p>
      <w:pPr>
        <w:pStyle w:val="Heading2"/>
      </w:pPr>
      <w:r>
        <w:t>PAUTA DE JULGAMENTO</w:t>
      </w:r>
    </w:p>
    <w:p>
      <w:r>
        <w:t>Categoria: Ministério da Fazenda/Secretaria Especial da Receita Federal do Brasil/Secretaria-Adjunta/Subsecretaria de Tributação e Contencioso/Delegacia de Julgamento da Receita Federal do Brasil 02/Segunda Turma</w:t>
      </w:r>
    </w:p>
    <w:p>
      <w:r>
        <w:t>Página: 19</w:t>
      </w:r>
    </w:p>
    <w:p/>
    <w:p>
      <w:r>
        <w:t>PAUTA DE JULGAMENTO</w:t>
      </w:r>
    </w:p>
    <w:p>
      <w:r>
        <w:t>Período da Reunião de 10/09/2026 a 10/09/2026</w:t>
      </w:r>
    </w:p>
    <w:p>
      <w:r>
        <w:t>Pauta de julgamento de Impugnações e Manifestações de Inconformidade das sessões ordinárias da 2ª Turma da DRJ02 a serem realizadas nas datas a seguir mencionadas.</w:t>
      </w:r>
    </w:p>
    <w:p>
      <w:r>
        <w:t>OBSERVAÇÕES:</w:t>
      </w:r>
    </w:p>
    <w:p>
      <w:r>
        <w:t>1) Após a publicação da pauta de julgamento no DOU, você poderá enviar o vídeo/áudio contendo a sustentação oral ou arquivo de texto contendo memorial em até 5 (cinco) dias corridos, a partir da publicação da pauta de julgamento no DOU.</w:t>
      </w:r>
    </w:p>
    <w:p>
      <w:r>
        <w:t>2) A apresentação da sustentação oral deverá ser realizada por meio de gravação de vídeo ou áudio enviado através da funcionalidade Participar de Reunião de Julgamento, em Processos Digitais, no e-CAC da Receita Federal.</w:t>
      </w:r>
    </w:p>
    <w:p>
      <w:r>
        <w:t>3) Caso o patrono não tenha procuração/substabelecimento para realizar sustentação oral, favor juntá-lo aos autos.</w:t>
      </w:r>
    </w:p>
    <w:p>
      <w:r>
        <w:t>4) A aceitação da sustentação oral pleiteada está condicionada ao cumprimento dos requisitos e prazos estabelecidos na Portaria RFB nº 309, de 03/04/2023 e alterações posteriores, em especial, no que se refere à tempestividade da juntada do vídeo da sustentação oral no sistema.</w:t>
      </w:r>
    </w:p>
    <w:p>
      <w:r>
        <w:t>5) Não serão admitidos envio de sustentação oral/memoriais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10 de Setembro de 2026, ÀS 08:00 HORAS</w:t>
      </w:r>
    </w:p>
    <w:p>
      <w:r>
        <w:t>Relator(a): NELSON KLAUTAU GUERREIRO DA SILVA</w:t>
      </w:r>
    </w:p>
    <w:p>
      <w:r>
        <w:t>1 - Processo nº: 10467.720759/2019-05 - Recorrente: PLUMATEX COLCHOES INDUSTRIAL LIMITADA e Interessado: FAZENDA NACIONAL</w:t>
      </w:r>
    </w:p>
    <w:p>
      <w:r>
        <w:t>2 - Processo nº: 10467.720761/2019-76 - Recorrente: PLUMATEX COLCHOES INDUSTRIAL LIMITADA e Interessado: FAZENDA NACIONAL</w:t>
      </w:r>
    </w:p>
    <w:p>
      <w:r>
        <w:t>3 - Processo nº: 10467.720762/2019-11 - Recorrente: PLUMATEX COLCHOES INDUSTRIAL LIMITADA e Interessado: FAZENDA NACIONAL</w:t>
      </w:r>
    </w:p>
    <w:p>
      <w:r>
        <w:t>4 - Processo nº: 10467.720763/2019-65 - Recorrente: PLUMATEX COLCHOES INDUSTRIAL LIMITADA e Interessado: FAZENDA NACIONAL</w:t>
      </w:r>
    </w:p>
    <w:p>
      <w:r>
        <w:t>5 - Processo nº: 10467.720764/2019-18 - Recorrente: PLUMATEX COLCHOES INDUSTRIAL LIMITADA e Interessado: FAZENDA NACIONAL</w:t>
      </w:r>
    </w:p>
    <w:p>
      <w:r>
        <w:t>6 - Processo nº: 10467.720765/2019-54 - Recorrente: PLUMATEX COLCHOES INDUSTRIAL LIMITADA e Interessado: FAZENDA NACIONAL</w:t>
      </w:r>
    </w:p>
    <w:p>
      <w:r>
        <w:t>7 - Processo nº: 10467.720766/2019-07 - Recorrente: PLUMATEX COLCHOES INDUSTRIAL LIMITADA e Interessado: FAZENDA NACIONAL</w:t>
      </w:r>
    </w:p>
    <w:p>
      <w:r>
        <w:t>8 - Processo nº: 10467.720767/2019-43 - Recorrente: PLUMATEX COLCHOES INDUSTRIAL LIMITADA e Interessado: FAZENDA NACIONAL</w:t>
      </w:r>
    </w:p>
    <w:p>
      <w:r>
        <w:t>9 - Processo nº: 10580.727767/2019-78 - Recorrente: PLUMATEX COLCHOES INDUSTRIAL LIMITADA e Interessado: FAZENDA NACIONAL</w:t>
      </w:r>
    </w:p>
    <w:p>
      <w:r>
        <w:t>10 - Processo nº: 10880.907954/2016-14 - Recorrente: SIEMENS ENERGY BRASIL LTDA. e Interessado: FAZENDA NACIONAL</w:t>
      </w:r>
    </w:p>
    <w:p>
      <w:r>
        <w:t>11 - Processo nº: 10880.907955/2016-51 - Recorrente: SIEMENS ENERGY BRASIL LTDA. e Interessado: FAZENDA NACIONAL</w:t>
      </w:r>
    </w:p>
    <w:p>
      <w:r>
        <w:t>12 - Processo nº: 13896.906896/2018-84 - Recorrente: JACOBS DOUWE EGBERTS BR COMERCIALIZACAO DE CAFES LTDA. e Interessado: FAZENDA NACIONAL</w:t>
      </w:r>
    </w:p>
    <w:p>
      <w:r>
        <w:t>Relator(a): NARGELA FATIMA DA SILVA CASTRO</w:t>
      </w:r>
    </w:p>
    <w:p>
      <w:r>
        <w:t>13 - Processo nº: 10680.949311/2025-87 - Recorrente: ASK DO BRASIL COMPONENTES DE AUDIO E COMUNICACAO LTDA. e Interessado: FAZENDA NACIONAL</w:t>
      </w:r>
    </w:p>
    <w:p>
      <w:r>
        <w:t>14 - Processo nº: 18183.735841/2025-62 - Recorrente: ASK DO BRASIL COMPONENTES DE AUDIO E COMUNICACAO LTDA. e Interessado: FAZENDA NACIONAL</w:t>
      </w:r>
    </w:p>
    <w:p>
      <w:r>
        <w:t>Relator(a): CLAUDIA GORRESEN MELLO</w:t>
      </w:r>
    </w:p>
    <w:p>
      <w:r>
        <w:t>15 - Processo nº: 15746.722341/2024-79 - Recorrente: EMBALIXO INDUSTRIA E COMERCIO DE EMBALAGENS PLASTICAS LTDA e Interessado: FAZENDA NACIONAL</w:t>
      </w:r>
    </w:p>
    <w:p>
      <w:r>
        <w:t>Clecivaldo Araujo da Silva</w:t>
      </w:r>
    </w:p>
    <w:p>
      <w:r>
        <w:t>Presidente da Turma</w:t>
      </w:r>
    </w:p>
    <w:p>
      <w:pPr>
        <w:pStyle w:val="Heading2"/>
      </w:pPr>
      <w:r>
        <w:t>PAUTA DE JULGAMENTO</w:t>
      </w:r>
    </w:p>
    <w:p>
      <w:r>
        <w:t>Categoria: Ministério da Fazenda/Secretaria Especial da Receita Federal do Brasil/Secretaria-Adjunta/Subsecretaria de Tributação e Contencioso/Delegacia de Julgamento da Receita Federal do Brasil 06/Quinta Turma</w:t>
      </w:r>
    </w:p>
    <w:p>
      <w:r>
        <w:t>Página: 20</w:t>
      </w:r>
    </w:p>
    <w:p/>
    <w:p>
      <w:r>
        <w:t>PAUTA DE JULGAMENTO</w:t>
      </w:r>
    </w:p>
    <w:p>
      <w:r>
        <w:t>Período da Reunião de 09/09/2026 a 09/09/2026</w:t>
      </w:r>
    </w:p>
    <w:p>
      <w:r>
        <w:t>Pauta de julgamento das impugnações/manifestações de inconformidade das sessões ordinárias da Turma 5 da DRJ06 a serem realizadas nas datas a seguir mencionadas.</w:t>
      </w:r>
    </w:p>
    <w:p>
      <w:r>
        <w:t>OBSERVAÇÕES:</w:t>
      </w:r>
    </w:p>
    <w:p>
      <w:r>
        <w:t>1) Após a publicação da pauta de julgamento no DOU, o interessado poderá encaminhar vídeo ou áudio com a sustentação oral, ou arquivo de texto contendo memorial, no prazo de até cinco dias contados da data da publicação.</w:t>
      </w:r>
    </w:p>
    <w:p>
      <w:r>
        <w:t>2) A apresentação da sustentação oral deverá ser realizada por meio de gravação de vídeo ou áudio, limitado a 10 (dez) minutos de duração, conforme art. 19 da Portaria RFB nº 309, de 31 de março de 2023, publicada no DOU de 03 de abril de 2023, a ser enviado através da funcionalidade Participar de Reunião de Julgamento, em Processos Digitais, no e-CAC da Receita Federal.</w:t>
      </w:r>
    </w:p>
    <w:p>
      <w:r>
        <w:t>3) Caso o patrono não tenha originalmente procuração / substabelecimento para realizar sustentação oral, deve providenciá-los e juntá-los aos autos.</w:t>
      </w:r>
    </w:p>
    <w:p>
      <w:r>
        <w:t>4) A aceitação da sustentação oral pleiteada está condicionada ao cumprimento dos requisitos e prazos estabelecidos na Portaria RFB nº 309, de 2023, e alterações posteriores, em especial, no que se refere à tempestividade da juntada do vídeo ou áudio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publicada no DOU de 22 de fevereiro de 2023. Na ausência de tabela, este item não se aplica, devendo ser desconsiderado.</w:t>
      </w:r>
    </w:p>
    <w:p>
      <w:r>
        <w:t>DIA 9 de Setembro de 2026, ÀS 14:00 HORAS</w:t>
      </w:r>
    </w:p>
    <w:p>
      <w:r>
        <w:t>Relator(a): FABRICIO FERREIRA BECHELANY</w:t>
      </w:r>
    </w:p>
    <w:p>
      <w:r>
        <w:t>1 - Processo nº: 15504.721654/2020-29 - Recorrente: ARNALDO DA CUNHA MACCHERONI e Interessado: FAZENDA NACIONAL</w:t>
      </w:r>
    </w:p>
    <w:p>
      <w:r>
        <w:t>2 - Processo nº: 15504.721789/2020-94 - Recorrente: ALOISIO DA CUNHA MACCHERONI e Interessado: FAZENDA NACIONAL</w:t>
      </w:r>
    </w:p>
    <w:p>
      <w:r>
        <w:t>3 - Processo nº: 15504.721791/2020-63 - Recorrente: AMILCAR DA CUNHA MACCHERONI e Interessado: FAZENDA NACIONAL</w:t>
      </w:r>
    </w:p>
    <w:p>
      <w:r>
        <w:t>4 - Processo nº: 15504.721793/2020-52 - Recorrente: ANSELMO DA CUNHA MACCHERONI e Interessado: FAZENDA NACIONAL</w:t>
      </w:r>
    </w:p>
    <w:p>
      <w:r>
        <w:t>Relator(a): ALEXANDRE TORRES DE ARAUJO</w:t>
      </w:r>
    </w:p>
    <w:p>
      <w:r>
        <w:t>5 - Processo nº: 10730.720062/2020-01 - Recorrente: MARCELO SANTOS BOMFIM DA SILVA e Interessado: FAZENDA NACIONAL</w:t>
      </w:r>
    </w:p>
    <w:p>
      <w:r>
        <w:t>Relator(a): HELOISA DE MORAES SILVEIRA</w:t>
      </w:r>
    </w:p>
    <w:p>
      <w:r>
        <w:t>6 - Processo nº: 15956.720136/2019-36 - Recorrente: THIAGO LEIPNER MARGATHO e Interessado: FAZENDA NACIONAL</w:t>
      </w:r>
    </w:p>
    <w:p>
      <w:r>
        <w:t>Heloisa de Moraes Silveira</w:t>
      </w:r>
    </w:p>
    <w:p>
      <w:r>
        <w:t>Presidente da Turma</w:t>
      </w:r>
    </w:p>
    <w:p>
      <w:pPr>
        <w:pStyle w:val="Heading2"/>
      </w:pPr>
      <w:r>
        <w:t>PAUTA DE JULGAMENTO</w:t>
      </w:r>
    </w:p>
    <w:p>
      <w:r>
        <w:t>Categoria: Ministério da Fazenda/Secretaria Especial da Receita Federal do Brasil/Secretaria-Adjunta/Subsecretaria de Tributação e Contencioso/Delegacia de Julgamento da Receita Federal do Brasil 08/Nona Turma</w:t>
      </w:r>
    </w:p>
    <w:p>
      <w:r>
        <w:t>Página: 22</w:t>
      </w:r>
    </w:p>
    <w:p/>
    <w:p>
      <w:r>
        <w:t>PAUTA DE JULGAMENTO</w:t>
      </w:r>
    </w:p>
    <w:p>
      <w:r>
        <w:t>Período da Reunião de 10/09/2026 a 10/09/2026</w:t>
      </w:r>
    </w:p>
    <w:p>
      <w:r>
        <w:t>Pauta de julgamento dos recursos das sessões ordinárias da 09ª Turma da DRJ08 a serem realizadas nas datas a seguir mencionadas.</w:t>
      </w:r>
    </w:p>
    <w:p>
      <w:r>
        <w:t>OBSERVAÇÕES:</w:t>
      </w:r>
    </w:p>
    <w:p>
      <w:r>
        <w:t>1)Após a publicação da pauta de julgamento no DOU, você poderá enviar o vídeo / áudio contendo a sustentação oral ou arquivo de texto contendo memorial em até 5 dias da publicação da pauta de julgamento no DOU.</w:t>
      </w:r>
    </w:p>
    <w:p>
      <w:r>
        <w:t>2)A apresentação da sustentação oral deverá ser realizada por meio de gravação de vídeo ou áudio enviado através da funcionalidade Participar de Reunião de Julgamento, em Processos Digitais, no e-CAC da Receita Federal.</w:t>
      </w:r>
    </w:p>
    <w:p>
      <w:r>
        <w:t>3)Caso o patrono não tenha procuração / substabelecimento para realizar sustentação oral, favor juntá-lo aos autos.</w:t>
      </w:r>
    </w:p>
    <w:p>
      <w:r>
        <w:t>4) A aceitação da sustentação oral pleiteada está condicionada ao cumprimento dos requisitos e prazos estabelecidos na Portaria RFB nº 309, de 31/03/2023 e alterações posteriores, em especial, no que se refere à tempestividade da juntada do vídeo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10 de Setembro de 2026, ÀS 09:00 HORAS</w:t>
      </w:r>
    </w:p>
    <w:p>
      <w:r>
        <w:t>Relator(a): GEORGIO HENRIQUE HURBANO ALVES BASTOS</w:t>
      </w:r>
    </w:p>
    <w:p>
      <w:r>
        <w:t>1 - Processo nº: 15504.724665/2019-27 - Recorrente: QUALYCON DISTRIBUICAO LTDA. e Interessado: FAZENDA NACIONAL</w:t>
      </w:r>
    </w:p>
    <w:p>
      <w:r>
        <w:t>Sergio Heiji Murata</w:t>
      </w:r>
    </w:p>
    <w:p>
      <w:r>
        <w:t>Presidente da Turma</w:t>
      </w:r>
    </w:p>
    <w:p>
      <w:pPr>
        <w:pStyle w:val="Heading2"/>
      </w:pPr>
      <w:r>
        <w:t>PAUTA DE JULGAMENTO</w:t>
      </w:r>
    </w:p>
    <w:p>
      <w:r>
        <w:t>Categoria: Ministério da Fazenda/Secretaria Especial da Receita Federal do Brasil/Secretaria-Adjunta/Subsecretaria de Tributação e Contencioso/Delegacia de Julgamento da Receita Federal do Brasil 09/Terceira Turma</w:t>
      </w:r>
    </w:p>
    <w:p>
      <w:r>
        <w:t>Página: 20</w:t>
      </w:r>
    </w:p>
    <w:p/>
    <w:p>
      <w:r>
        <w:t>PAUTA DE JULGAMENTO</w:t>
      </w:r>
    </w:p>
    <w:p>
      <w:r>
        <w:t>Período da Reunião de 11/09/2026 a 11/09/2026</w:t>
      </w:r>
    </w:p>
    <w:p>
      <w:r>
        <w:t>Pauta de julgamento das impugnações/manifestações de inconformidade das sessões ordinárias da 03 Turma da DRJ09 a serem realizadas nas datas a seguir mencionadas.</w:t>
      </w:r>
    </w:p>
    <w:p>
      <w:r>
        <w:t>OBSERVAÇÕES:</w:t>
      </w:r>
    </w:p>
    <w:p>
      <w:r>
        <w:t>1)Após a publicação da pauta de julgamento no DOU, você poderá enviar o vídeo / áudio contendo a sustentação oral ou arquivo de texto contendo memorial em até 5 dias da publicação da pauta de julgamento no DOU.</w:t>
      </w:r>
    </w:p>
    <w:p>
      <w:r>
        <w:t>2)A apresentação da sustentação oral deverá ser realizada por meio de gravação de vídeo ou áudio enviado através da funcionalidade Participar de Reunião de Julgamento, em Processos Digitais, no e-CAC da Receita Federal.</w:t>
      </w:r>
    </w:p>
    <w:p>
      <w:r>
        <w:t>3)Caso o patrono não tenha procuração / substabelecimento para realizar sustentação oral, favor juntá-lo aos autos.</w:t>
      </w:r>
    </w:p>
    <w:p>
      <w:r>
        <w:t>4) A aceitação da sustentação oral pleiteada está condicionada ao cumprimento dos requisitos e prazos estabelecidos na Portaria RFB nº 309, de 03/04/2023 e alterações posteriores, em especial, no que se refere à tempestividade da juntada do vídeo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ITEM</w:t>
            </w:r>
          </w:p>
        </w:tc>
        <w:tc>
          <w:tcPr>
            <w:tcW w:type="dxa" w:w="2880"/>
          </w:tcPr>
          <w:p>
            <w:r>
              <w:t>PROCESSO</w:t>
            </w:r>
          </w:p>
        </w:tc>
        <w:tc>
          <w:tcPr>
            <w:tcW w:type="dxa" w:w="2880"/>
          </w:tcPr>
          <w:p>
            <w:r>
              <w:t>ITENS REPETITIVOS</w:t>
            </w:r>
          </w:p>
        </w:tc>
      </w:tr>
      <w:tr>
        <w:tc>
          <w:tcPr>
            <w:tcW w:type="dxa" w:w="2880"/>
          </w:tcPr>
          <w:p>
            <w:r>
              <w:t>1</w:t>
            </w:r>
          </w:p>
        </w:tc>
        <w:tc>
          <w:tcPr>
            <w:tcW w:type="dxa" w:w="2880"/>
          </w:tcPr>
          <w:p>
            <w:r>
              <w:t>10925.910509/2021-27</w:t>
            </w:r>
          </w:p>
        </w:tc>
        <w:tc>
          <w:tcPr>
            <w:tcW w:type="dxa" w:w="2880"/>
          </w:tcPr>
          <w:p>
            <w:r>
              <w:t>2 a 19</w:t>
            </w:r>
          </w:p>
        </w:tc>
      </w:tr>
      <w:tr>
        <w:tc>
          <w:tcPr>
            <w:tcW w:type="dxa" w:w="2880"/>
          </w:tcPr>
          <w:p>
            <w:r>
              <w:t>20</w:t>
            </w:r>
          </w:p>
        </w:tc>
        <w:tc>
          <w:tcPr>
            <w:tcW w:type="dxa" w:w="2880"/>
          </w:tcPr>
          <w:p>
            <w:r>
              <w:t>13603.903043/2019-10</w:t>
            </w:r>
          </w:p>
        </w:tc>
        <w:tc>
          <w:tcPr>
            <w:tcW w:type="dxa" w:w="2880"/>
          </w:tcPr>
          <w:p>
            <w:r>
              <w:t>21 a 22</w:t>
            </w:r>
          </w:p>
        </w:tc>
      </w:tr>
    </w:tbl>
    <w:p/>
    <w:p>
      <w:r>
        <w:t>ITEM</w:t>
      </w:r>
    </w:p>
    <w:p>
      <w:r>
        <w:t>PROCESSO</w:t>
      </w:r>
    </w:p>
    <w:p>
      <w:r>
        <w:t>ITENS REPETITIVOS</w:t>
      </w:r>
    </w:p>
    <w:p>
      <w:r>
        <w:t>1</w:t>
      </w:r>
    </w:p>
    <w:p>
      <w:r>
        <w:t>10925.910509/2021-27</w:t>
      </w:r>
    </w:p>
    <w:p>
      <w:r>
        <w:t>2 a 19</w:t>
      </w:r>
    </w:p>
    <w:p>
      <w:r>
        <w:t>20</w:t>
      </w:r>
    </w:p>
    <w:p>
      <w:r>
        <w:t>13603.903043/2019-10</w:t>
      </w:r>
    </w:p>
    <w:p>
      <w:r>
        <w:t>21 a 22</w:t>
      </w:r>
    </w:p>
    <w:p>
      <w:r>
        <w:t>DIA 11 de Setembro de 2026, ÀS 08:00 HORAS</w:t>
      </w:r>
    </w:p>
    <w:p>
      <w:r>
        <w:t>Relator(a): HELDON JOSE LOBO TEIXEIRA</w:t>
      </w:r>
    </w:p>
    <w:p>
      <w:r>
        <w:t>1 - Processo nº: 10925.910509/2021-27 - Recorrente: LACTICINIOS TIROL LTDA e Interessado: FAZENDA NACIONAL</w:t>
      </w:r>
    </w:p>
    <w:p>
      <w:r>
        <w:t>2 - Processo nº: 10925.903650/2023-35 - Recorrente: LACTICINIOS TIROL LTDA e Interessado: FAZENDA NACIONAL</w:t>
      </w:r>
    </w:p>
    <w:p>
      <w:r>
        <w:t>3 - Processo nº: 10925.903652/2023-24 - Recorrente: LACTICINIOS TIROL LTDA e Interessado: FAZENDA NACIONAL</w:t>
      </w:r>
    </w:p>
    <w:p>
      <w:r>
        <w:t>4 - Processo nº: 10925.906079/2018-43 - Recorrente: LACTICINIOS TIROL LTDA e Interessado: FAZENDA NACIONAL</w:t>
      </w:r>
    </w:p>
    <w:p>
      <w:r>
        <w:t>5 - Processo nº: 10925.907240/2022-82 - Recorrente: LACTICINIOS TIROL LTDA e Interessado: FAZENDA NACIONAL</w:t>
      </w:r>
    </w:p>
    <w:p>
      <w:r>
        <w:t>6 - Processo nº: 10925.907241/2022-27 - Recorrente: LACTICINIOS TIROL LTDA e Interessado: FAZENDA NACIONAL</w:t>
      </w:r>
    </w:p>
    <w:p>
      <w:r>
        <w:t>7 - Processo nº: 10925.907242/2022-71 - Recorrente: LACTICINIOS TIROL LTDA e Interessado: FAZENDA NACIONAL</w:t>
      </w:r>
    </w:p>
    <w:p>
      <w:r>
        <w:t>8 - Processo nº: 10925.907243/2022-16 - Recorrente: LACTICINIOS TIROL LTDA e Interessado: FAZENDA NACIONAL</w:t>
      </w:r>
    </w:p>
    <w:p>
      <w:r>
        <w:t>9 - Processo nº: 10925.907244/2022-61 - Recorrente: LACTICINIOS TIROL LTDA e Interessado: FAZENDA NACIONAL</w:t>
      </w:r>
    </w:p>
    <w:p>
      <w:r>
        <w:t>10 - Processo nº: 10925.907245/2022-13 - Recorrente: LACTICINIOS TIROL LTDA e Interessado: FAZENDA NACIONAL</w:t>
      </w:r>
    </w:p>
    <w:p>
      <w:r>
        <w:t>11 - Processo nº: 10925.909112/2020-10 - Recorrente: LACTICINIOS TIROL LTDA e Interessado: FAZENDA NACIONAL</w:t>
      </w:r>
    </w:p>
    <w:p>
      <w:r>
        <w:t>12 - Processo nº: 10925.909113/2020-56 - Recorrente: LACTICINIOS TIROL LTDA e Interessado: FAZENDA NACIONAL</w:t>
      </w:r>
    </w:p>
    <w:p>
      <w:r>
        <w:t>13 - Processo nº: 10925.909114/2020-09 - Recorrente: LACTICINIOS TIROL LTDA e Interessado: FAZENDA NACIONAL</w:t>
      </w:r>
    </w:p>
    <w:p>
      <w:r>
        <w:t>14 - Processo nº: 10925.909115/2020-45 - Recorrente: LACTICINIOS TIROL LTDA e Interessado: FAZENDA NACIONAL</w:t>
      </w:r>
    </w:p>
    <w:p>
      <w:r>
        <w:t>15 - Processo nº: 10925.910510/2021-51 - Recorrente: LACTICINIOS TIROL LTDA e Interessado: FAZENDA NACIONAL</w:t>
      </w:r>
    </w:p>
    <w:p>
      <w:r>
        <w:t>16 - Processo nº: 10925.910511/2021-04 - Recorrente: LACTICINIOS TIROL LTDA e Interessado: FAZENDA NACIONAL</w:t>
      </w:r>
    </w:p>
    <w:p>
      <w:r>
        <w:t>17 - Processo nº: 10925.910512/2021-41 - Recorrente: LACTICINIOS TIROL LTDA e Interessado: FAZENDA NACIONAL</w:t>
      </w:r>
    </w:p>
    <w:p>
      <w:r>
        <w:t>18 - Processo nº: 10925.910513/2021-95 - Recorrente: LACTICINIOS TIROL LTDA e Interessado: FAZENDA NACIONAL</w:t>
      </w:r>
    </w:p>
    <w:p>
      <w:r>
        <w:t>19 - Processo nº: 10925.910514/2021-30 - Recorrente: LACTICINIOS TIROL LTDA e Interessado: FAZENDA NACIONAL</w:t>
      </w:r>
    </w:p>
    <w:p>
      <w:r>
        <w:t>DIA 11 de Setembro de 2026, ÀS 13:30 HORAS</w:t>
      </w:r>
    </w:p>
    <w:p>
      <w:r>
        <w:t>Relator(a): HELDON JOSE LOBO TEIXEIRA</w:t>
      </w:r>
    </w:p>
    <w:p>
      <w:r>
        <w:t>20 - Processo nº: 13603.903043/2019-10 - Recorrente: VALLOG TRANSPORTES E LOGISTICA LTDA e Interessado: FAZENDA NACIONAL</w:t>
      </w:r>
    </w:p>
    <w:p>
      <w:r>
        <w:t>21 - Processo nº: 13603.903042/2019-75 - Recorrente: VALLOG TRANSPORTES E LOGISTICA LTDA e Interessado: FAZENDA NACIONAL</w:t>
      </w:r>
    </w:p>
    <w:p>
      <w:r>
        <w:t>22 - Processo nº: 13603.904094/2019-69 - Recorrente: VALLOG TRANSPORTES E LOGISTICA LTDA e Interessado: FAZENDA NACIONAL</w:t>
      </w:r>
    </w:p>
    <w:p>
      <w:r>
        <w:t>Heldon Jose Lobo Teixeira</w:t>
      </w:r>
    </w:p>
    <w:p>
      <w:r>
        <w:t>Presidente da Turma</w:t>
      </w:r>
    </w:p>
    <w:p>
      <w:pPr>
        <w:pStyle w:val="Heading2"/>
      </w:pPr>
      <w:r>
        <w:t>ATOS DECLARATÓRIOS CVM DE 28 DE AGOSTO DE 2026</w:t>
      </w:r>
    </w:p>
    <w:p>
      <w:r>
        <w:t>Categoria: Ministério da Fazenda/Comissão de Valores Mobiliários/Superintendência-Geral/Superintendência de Supervisão de Investidores Institucionais/Gerência de Acompanhamento de Investidores Institucionais</w:t>
      </w:r>
    </w:p>
    <w:p>
      <w:r>
        <w:t>Página: 24</w:t>
      </w:r>
    </w:p>
    <w:p/>
    <w:p>
      <w:r>
        <w:t>ATOS DECLARATÓRIOS CVM DE 28 DE AGOSTO DE 2026</w:t>
      </w:r>
    </w:p>
    <w:p>
      <w:r>
        <w:t>Nº 25.702 - O Gerente de Acompanhamento de Investidores Institucionais da Comissão de Valores Mobiliários, no uso da competência dada pela Resolução CVM nº 24, de 5 de março de 2021, autoriza LUIZ GUSTAVO NUNES, CPF n° ***.448.669-**, a prestar os serviços de Consultor de Valores Mobiliários, previstos na Resolução CVM nº 19, de 25 de fevereiro de 2021.</w:t>
      </w:r>
    </w:p>
    <w:p>
      <w:r>
        <w:t>Nº 25.703 - O Gerente de Acompanhamento de Investidores Institucionais da Comissão de Valores Mobiliários, no uso da competência dada pela Resolução CVM nº 24, de 5 de março de 2021, autoriza JOÃO CLÁUDIO GATTI, CPF n° ***.857.906-**, a prestar os serviços de Consultor de Valores Mobiliários, previstos na Resolução CVM nº 19, de 25 de fevereiro de 2021.</w:t>
      </w:r>
    </w:p>
    <w:p>
      <w:r>
        <w:t>Nº 25.704 - O Gerente de Acompanhamento de Investidores Institucionais da Comissão de Valores Mobiliários, no uso da competência dada pela Resolução CVM nº 24, de 5 de março de 2021, cancela, a pedido, a autorização concedida a DIEGO GONÇALVES MIRANDA, CPF nº ***.701.149-**, para prestar os serviços de Consultor de Valores Mobiliários previstos na Resolução CVM nº 19, de 25 de fevereiro de 2021.</w:t>
      </w:r>
    </w:p>
    <w:p>
      <w:r>
        <w:t>Nº 25.706 - O Gerente de Acompanhamento de Investidores Institucionais da Comissão de Valores Mobiliários, no uso da competência dada pela Resolução CVM nº 24, de 5 de março de 2021, autoriza THIAGO RIBEIRO BARROSO PEREIRA, CPF nº ***.686.358-**, a prestar os serviços de Administrador de Carteira de Valores Mobiliários previstos na Resolução CVM nº 21, de 25 de fevereiro de 2021.</w:t>
      </w:r>
    </w:p>
    <w:p>
      <w:r>
        <w:t>PAULO PORTINHO</w:t>
      </w:r>
    </w:p>
    <w:p>
      <w:pPr>
        <w:pStyle w:val="Heading2"/>
      </w:pPr>
      <w:r>
        <w:t>PAUTA DE JULGAMENTO</w:t>
      </w:r>
    </w:p>
    <w:p>
      <w:r>
        <w:t>Categoria: Ministério da Fazenda/Secretaria Especial da Receita Federal do Brasil/Secretaria-Adjunta/Subsecretaria de Tributação e Contencioso/Delegacia de Julgamento da Receita Federal do Brasil 07/Décima Sexta Turma</w:t>
      </w:r>
    </w:p>
    <w:p>
      <w:r>
        <w:t>Página: 21</w:t>
      </w:r>
    </w:p>
    <w:p/>
    <w:p>
      <w:r>
        <w:t>PAUTA DE JULGAMENTO</w:t>
      </w:r>
    </w:p>
    <w:p>
      <w:r>
        <w:t>Período da Reunião de 10/09/2026 a 10/09/2026</w:t>
      </w:r>
    </w:p>
    <w:p>
      <w:r>
        <w:t>Pauta de julgamento das sessões ordinárias da Turma 16 da DRJ07 a serem realizadas nas datas a seguir mencionadas.</w:t>
      </w:r>
    </w:p>
    <w:p>
      <w:r>
        <w:t>OBSERVAÇÕES:</w:t>
      </w:r>
    </w:p>
    <w:p>
      <w:r>
        <w:t>1) Após a publicação da pauta de julgamento no DOU, o interessado poderá encaminhar vídeo ou áudio com a sustentação oral, ou arquivo de texto contendo memorial, no prazo de até cinco dias contados da data da publicação.</w:t>
      </w:r>
    </w:p>
    <w:p>
      <w:r>
        <w:t>2) A apresentação da sustentação oral deverá ser realizada por meio de gravação de vídeo ou áudio enviado através da funcionalidade Participar de Reunião de Julgamento, em Processos Digitais, no e-CAC da Receita Federal.</w:t>
      </w:r>
    </w:p>
    <w:p>
      <w:r>
        <w:t>3) Caso o patrono não tenha procuração / substabelecimento para realizar sustentação oral, favor juntá-lo aos autos.</w:t>
      </w:r>
    </w:p>
    <w:p>
      <w:r>
        <w:t>4) A aceitação da sustentação oral pleiteada está condicionada ao cumprimento dos requisitos e prazos estabelecidos na Portaria RFB nº 309, de 03/04/2023 e alterações posteriores, em especial, no que se refere à tempestividade da juntada do vídeo da sustentação oral no sistema.</w:t>
      </w:r>
    </w:p>
    <w:p>
      <w:r>
        <w:t>5) Não serão admitidos envio de sustentação oral / memoriais por meio de solicitação de juntada nos autos.</w:t>
      </w:r>
    </w:p>
    <w:p>
      <w:r>
        <w:t>6) Para maiores informações, acesse https://www.gov.br/receitafederal/ptbr/servicos/defesas-e-recursos.</w:t>
      </w:r>
    </w:p>
    <w:p>
      <w:r>
        <w:t>7) O resultado do julgamento dos processos eventualmente relacionados na tabela abaixo servirá como paradigma para o julgamento dos itens constantes da coluna ITENS REPETITIVOS, nos termos dos §§ 1º e 2º do art. 19 da Portaria MF nº 20, de 17 de fevereiro de 2023. Na ausência de tabela, este item não se aplica, devendo ser desconsiderado</w:t>
      </w:r>
    </w:p>
    <w:p>
      <w:r>
        <w:t>DIA 10 de Setembro de 2026, ÀS 09:00 HORAS</w:t>
      </w:r>
    </w:p>
    <w:p>
      <w:r>
        <w:t>Relator(a): GUSTAVO GARCIA DIAS DOS SANTOS</w:t>
      </w:r>
    </w:p>
    <w:p>
      <w:r>
        <w:t>1 - Processo nº: 10183.901667/2018-11 - Recorrente: FIAGRIL LTDA e Interessado: FAZENDA NACIONAL</w:t>
      </w:r>
    </w:p>
    <w:p>
      <w:r>
        <w:t>2 - Processo nº: 10183.901669/2018-19 - Recorrente: FIAGRIL LTDA e Interessado: FAZENDA NACIONAL</w:t>
      </w:r>
    </w:p>
    <w:p>
      <w:r>
        <w:t>3 - Processo nº: 10183.901670/2018-35 - Recorrente: FIAGRIL LTDA e Interessado: FAZENDA NACIONAL</w:t>
      </w:r>
    </w:p>
    <w:p>
      <w:r>
        <w:t>4 - Processo nº: 10183.901671/2018-80 - Recorrente: FIAGRIL LTDA e Interessado: FAZENDA NACIONAL</w:t>
      </w:r>
    </w:p>
    <w:p>
      <w:r>
        <w:t>5 - Processo nº: 10735.903246/2021-37 - Recorrente: RAMAR COMERCIO DE PRODUTOS ALIMENTICIOS LTDA e Interessado: FAZENDA NACIONAL</w:t>
      </w:r>
    </w:p>
    <w:p>
      <w:r>
        <w:t>6 - Processo nº: 16327.720007/2026-46 - Recorrente: CAIXA ECONOMICA FEDERAL e Interessado: FAZENDA NACIONAL</w:t>
      </w:r>
    </w:p>
    <w:p>
      <w:r>
        <w:t>DIA 10 de Setembro de 2026, ÀS 13:00 HORAS</w:t>
      </w:r>
    </w:p>
    <w:p>
      <w:r>
        <w:t>Relator(a): CRISTIANE PETITO MOREIRA</w:t>
      </w:r>
    </w:p>
    <w:p>
      <w:r>
        <w:t>7 - Processo nº: 10183.909373/2020-52 - Recorrente: AVIDA CONSTRUTORA E INCORPORADORA S/A EM RECUPERACAO JUDICIAL e Interessado: FAZENDA NACIONAL</w:t>
      </w:r>
    </w:p>
    <w:p>
      <w:r>
        <w:t>8 - Processo nº: 12448.725281/2021-70 - Recorrente: IRB USO EMPREENDIMENTOS IMOBILIARIOS SPE S.A. e Interessado: FAZENDA NACIONAL</w:t>
      </w:r>
    </w:p>
    <w:p>
      <w:r>
        <w:t>Relator(a): GUSTAVO FABER DE AZEVEDO</w:t>
      </w:r>
    </w:p>
    <w:p>
      <w:r>
        <w:t>9 - Processo nº: 13709.002324/2003-16 - Recorrente: CAPRICHOSA AUTO ONIBUS LTDA e Interessado: FAZENDA NACIONAL</w:t>
      </w:r>
    </w:p>
    <w:p>
      <w:r>
        <w:t>Magda Cotta Cardozo</w:t>
      </w:r>
    </w:p>
    <w:p>
      <w:r>
        <w:t>Presidente da Turma</w:t>
      </w:r>
    </w:p>
    <w:p>
      <w:pPr>
        <w:pStyle w:val="Heading2"/>
      </w:pPr>
      <w:r>
        <w:t>ATO DECLARATÓRIO EXECUTIVO CORAT Nº 67, DE 28 DE AGOSTO DE 2026</w:t>
      </w:r>
    </w:p>
    <w:p>
      <w:pPr>
        <w:pStyle w:val="ListBullet"/>
      </w:pPr>
      <w:r>
        <w:t>Ementa: Revoga o Ato Declaratório Executivo Corat nº 43, de 27 de julho de 2026, que qualificou como devedora contumaz a pessoa jurídica MAERSK FPSO BRASIL SERVICOS DE PRODUCAO MARITIMOS LTDA, inscrita no Cadastro Nacional da Pessoa Jurídica sob o nº 09.419.328/0001-11.</w:t>
      </w:r>
    </w:p>
    <w:p>
      <w:r>
        <w:t>Categoria: Ministério da Fazenda/Secretaria Especial da Receita Federal do Brasil/Secretaria-Adjunta/Subsecretaria de Arrecadação, Cadastros e Atendimento/Coordenação-Geral de Administração do Crédito Tributário</w:t>
      </w:r>
    </w:p>
    <w:p>
      <w:r>
        <w:t>Página: 19</w:t>
      </w:r>
    </w:p>
    <w:p/>
    <w:p>
      <w:r>
        <w:t>ATO DECLARATÓRIO EXECUTIVO CORAT Nº 67, DE 28 DE AGOSTO DE 2026</w:t>
      </w:r>
    </w:p>
    <w:p>
      <w:r>
        <w:t>Revoga o Ato Declaratório Executivo Corat nº 43, de 27 de julho de 2026, que qualificou como devedora contumaz a pessoa jurídica MAERSK FPSO BRASIL SERVICOS DE PRODUCAO MARITIMOS LTDA, inscrita no Cadastro Nacional da Pessoa Jurídica sob o nº 09.419.328/0001-11.</w:t>
      </w:r>
    </w:p>
    <w:p>
      <w:r>
        <w:t>O COORDENADOR-GERAL DE ADMINISTRAÇÃO DO CRÉDITO TRIBUTÁRIO, no exercício da atribuição prevista no art. 358, caput, inciso II, do Regimento Interno da Secretaria Especial da Receita Federal do Brasil, aprovado pela Portaria ME nº 284, de 27 de julho de 2020, e o que consta do processo administrativo nº 11080-728.979/2026-03, declara:</w:t>
      </w:r>
    </w:p>
    <w:p>
      <w:r>
        <w:t>Art. 1º Fica revogado o Ato Declaratório Executivo Corat nº 43, de 27 de julho de 2026, que qualificou como devedora contumaz a pessoa jurídica MAERSK FPSO BRASIL SERVICOS DE PRODUCAO MARITIMOS LTDA, inscrita no Cadastro Nacional da Pessoa Jurídica - CNPJ sob o nº 09.419.328/0001-11.</w:t>
      </w:r>
    </w:p>
    <w:p>
      <w:r>
        <w:t>Art. 2º A pessoa jurídica a que se refere o art. 1º:</w:t>
      </w:r>
    </w:p>
    <w:p>
      <w:r>
        <w:t>I - tem sua situação cadastral no CNPJ restabelecida; e</w:t>
      </w:r>
    </w:p>
    <w:p>
      <w:r>
        <w:t>II - fica excluída da lista de devedores contumazes, publicada pela Receita Federal do Brasil, e do Cadastro Informativo de Créditos não Quitados do Setor Público Federal - Cadin.</w:t>
      </w:r>
    </w:p>
    <w:p>
      <w:r>
        <w:t>Parágrafo único. Em razão da revogação objeto deste Ato Declaratório Executivo fica descaracterizada a condição de devedora contumaz da pessoa jurídica.</w:t>
      </w:r>
    </w:p>
    <w:p>
      <w:r>
        <w:t>Art. 3º Este Ato Declaratório Executivo entra em vigor na data de sua publicação no Diário Oficial da União.</w:t>
      </w:r>
    </w:p>
    <w:p>
      <w:r>
        <w:t>JORDÃO NÓBRIGA DA SILVA JUNIOR</w:t>
      </w:r>
    </w:p>
    <w:p>
      <w:pPr>
        <w:pStyle w:val="Heading2"/>
      </w:pPr>
      <w:r>
        <w:t>ATO DECLARATÓRIO EXECUTIVO CORAT Nº 66, DE 28 DE AGOSTO DE 2026</w:t>
      </w:r>
    </w:p>
    <w:p>
      <w:pPr>
        <w:pStyle w:val="ListBullet"/>
      </w:pPr>
      <w:r>
        <w:t>Ementa: Revoga o Ato Declaratório Executivo Corat nº 37, de 27 de julho de 2026, que qualificou como devedora contumaz a pessoa jurídica CERBA DESTILARIA DE ALCOOL LTDA - EM RECUPERACAO JUDICIAL, inscrita no Cadastro Nacional da Pessoa Jurídica sob o nº 53.653.242/0001-40.</w:t>
      </w:r>
    </w:p>
    <w:p>
      <w:r>
        <w:t>Categoria: Ministério da Fazenda/Secretaria Especial da Receita Federal do Brasil/Secretaria-Adjunta/Subsecretaria de Arrecadação, Cadastros e Atendimento/Coordenação-Geral de Administração do Crédito Tributário</w:t>
      </w:r>
    </w:p>
    <w:p>
      <w:r>
        <w:t>Página: 19</w:t>
      </w:r>
    </w:p>
    <w:p/>
    <w:p>
      <w:r>
        <w:t>ATO DECLARATÓRIO EXECUTIVO CORAT Nº 66, DE 28 DE AGOSTO DE 2026</w:t>
      </w:r>
    </w:p>
    <w:p>
      <w:r>
        <w:t>Revoga o Ato Declaratório Executivo Corat nº 37, de 27 de julho de 2026, que qualificou como devedora contumaz a pessoa jurídica CERBA DESTILARIA DE ALCOOL LTDA - EM RECUPERACAO JUDICIAL, inscrita no Cadastro Nacional da Pessoa Jurídica sob o nº 53.653.242/0001-40.</w:t>
      </w:r>
    </w:p>
    <w:p>
      <w:r>
        <w:t>O COORDENADOR-GERAL DE ADMINISTRAÇÃO DO CRÉDITO TRIBUTÁRIO, no exercício da atribuição prevista no art. 358, caput, inciso II, do Regimento Interno da Secretaria Especial da Receita Federal do Brasil, aprovado pela Portaria ME nº 284, de 27 de julho de 2020, e o que consta do processo administrativo nº 11080-728.951/2026-68, declara:</w:t>
      </w:r>
    </w:p>
    <w:p>
      <w:r>
        <w:t>Art. 1º Fica revogado o Ato Declaratório Executivo Corat nº 37, de 27 de julho de 2026, que qualificou como devedora contumaz a pessoa jurídica CERBA DESTILARIA DE ALCOOL LTDA - EM RECUPERACAO JUDICIAL, inscrita no Cadastro Nacional da Pessoa Jurídica - CNPJ sob o nº 53.653.242/0001-40.</w:t>
      </w:r>
    </w:p>
    <w:p>
      <w:r>
        <w:t>Art. 2º A pessoa jurídica a que se refere o art. 1º:</w:t>
      </w:r>
    </w:p>
    <w:p>
      <w:r>
        <w:t>I - tem sua situação cadastral no CNPJ restabelecida; e</w:t>
      </w:r>
    </w:p>
    <w:p>
      <w:r>
        <w:t>II - fica excluída da lista de devedores contumazes, publicada pela Receita Federal do Brasil, e do Cadastro Informativo de Créditos não Quitados do Setor Público Federal - Cadin.</w:t>
      </w:r>
    </w:p>
    <w:p>
      <w:r>
        <w:t>Parágrafo único. Em razão da revogação objeto deste Ato Declaratório Executivo fica descaracterizada a condição de devedora contumaz da pessoa jurídica.</w:t>
      </w:r>
    </w:p>
    <w:p>
      <w:r>
        <w:t>Art. 3º Este Ato Declaratório Executivo entra em vigor na data de sua publicação no Diário Oficial da União.</w:t>
      </w:r>
    </w:p>
    <w:p>
      <w:r>
        <w:t>JORDÃO NÓBRIGA DA SILVA JUNIOR</w:t>
      </w:r>
    </w:p>
    <w:p>
      <w:pPr>
        <w:pStyle w:val="Heading2"/>
      </w:pPr>
      <w:r>
        <w:t>RETIFICAÇÃO</w:t>
      </w:r>
    </w:p>
    <w:p>
      <w:r>
        <w:t>Categoria: Ministério da Fazenda/Secretaria Especial da Receita Federal do Brasil/Secretaria-Adjunta/Subsecretaria de Arrecadação, Cadastros e Atendimento/Coordenação-Geral de Administração do Crédito Tributário</w:t>
      </w:r>
    </w:p>
    <w:p>
      <w:r>
        <w:t>Página: 19</w:t>
      </w:r>
    </w:p>
    <w:p/>
    <w:p>
      <w:r>
        <w:t>RETIFICAÇÃO</w:t>
      </w:r>
    </w:p>
    <w:p>
      <w:r>
        <w:t>No art. 1º dos Atos Declaratórios Executivos Corat nºs. 55, 56, 57, 58 e 59, de 4 de agosto de 2026, publicados no Diário Oficial da União nº 147, de 6 de agosto de 2026, Seção 1, página 96:</w:t>
      </w:r>
    </w:p>
    <w:p>
      <w:r>
        <w:t>Onde se lê:</w:t>
      </w:r>
    </w:p>
    <w:p>
      <w:r>
        <w:t>"nos termos do art. 9º, caput, inciso III, da Instrução Normativa RFB nº 2.119, de 6 de dezembro de 2026"</w:t>
      </w:r>
    </w:p>
    <w:p>
      <w:r>
        <w:t>Leia-se:</w:t>
      </w:r>
    </w:p>
    <w:p>
      <w:r>
        <w:t>"nos termos do art. 9º, caput, inciso III, da Instrução Normativa RFB nº 2.119, de 6 de dezembro de 2022"</w:t>
      </w:r>
    </w:p>
    <w:p>
      <w:pPr>
        <w:pStyle w:val="Heading2"/>
      </w:pPr>
      <w:r>
        <w:t>Ato Declaratório Executivo EQBEN/DELEBEN/SRRF08ª/RFB n° 1.384, de 28 de agosto de 2026</w:t>
      </w:r>
    </w:p>
    <w:p>
      <w:pPr>
        <w:pStyle w:val="ListBullet"/>
      </w:pPr>
      <w:r>
        <w:t>Ementa: Cancela a coabilitação ao Regime Especial de Incentivos para o Desenvolvimento da Infraestrutura (Reidi) da pessoa jurídica que menciona.</w:t>
      </w:r>
    </w:p>
    <w:p>
      <w:r>
        <w:t>Categoria: Ministério da Fazenda/Secretaria Especial da Receita Federal do Brasil/Secretaria-Adjunta/Superintendência Regional da Receita Federal do Brasil 8ª Região Fiscal/Delegacia da Receita Federal do Brasil em Sorocaba</w:t>
      </w:r>
    </w:p>
    <w:p>
      <w:r>
        <w:t>Página: 23</w:t>
      </w:r>
    </w:p>
    <w:p/>
    <w:p>
      <w:r>
        <w:t>Ato Declaratório Executivo EQBEN/DELEBEN/SRRF08ª/RFB n° 1.384, de 28 de agosto de 2026</w:t>
      </w:r>
    </w:p>
    <w:p>
      <w:r>
        <w:t>Cancela a coabilitação ao Regime Especial de Incentivos para o Desenvolvimento da Infraestrutura (Reidi) da pessoa jurídica que menciona.</w:t>
      </w:r>
    </w:p>
    <w:p>
      <w:r>
        <w:t>A AUDITORA-FISCAL DA RECEITA FEDERAL DO BRASIL signatária, no uso das atribuições que lhe conferem a alínea "b" do inciso I do art. 6º da Lei nº 10.593, de 6 de dezembro de 2002 (Redação dada pela Lei nº 11.457, de 2007), o art. 8º da Portaria RFB nº 372, de 26 de outubro de 2023, e os arts. 2º e 4º da Portaria RFB nº 114, de 27 de janeiro de 2022, com base nas competências do inciso IV do art. 303 do Regimento Interno da Secretaria Especial da Receita Federal do Brasil, aprovado pela Portaria ME nº 284, de 27 de julho de 2020, tendo em vista o disposto nos arts. 646 a 663 da IN RFB nº 2.121, de 15 de dezembro de 2022, e o que consta do processo nº 13031.385469/2024-78, declara:</w:t>
      </w:r>
    </w:p>
    <w:p>
      <w:r>
        <w:t>Art. 1º Cancelada a coabilitação ao Regime Especial de Incentivos para o Desenvolvimento da Infraestrutura (REIDI) da pessoa jurídica CESBE SA ENGENHARIA E EMPREENDIMENTOS, CNPJ nº 76.487.222/0001-42, relativa ao projeto de geração de energia elétrica da UFV Sol de Brotas 1, com enquadramento ao REIDI aprovado pela Portaria nº 2.6009/SNTEP/MME, de 26 de setembro de 2023 (anexo 29), da Secretaria Nacional de Transição Energética e Planejamento do Ministério de Minas e Energia.</w:t>
      </w:r>
    </w:p>
    <w:p>
      <w:r>
        <w:t>Art. 2º Ficam revogados os efeitos do Ato Declaratório Executivo EQBEN/DELEBEN/SRRF08ª/ RFB nº 1.701, de 19 de novembro de 2024, motivo pelo qual a pessoa jurídica fica impedida de efetuar aquisições e importações ao amparo do REIDI de bens e serviços destinados ao projeto correspondente à coabilitação ora cancelada.</w:t>
      </w:r>
    </w:p>
    <w:p>
      <w:r>
        <w:t>Art. 3º Este Ato Declaratório Executivo entra em vigor na data de sua publicação no Diário Oficial da União - DOU, com efeitos retroativos a 30 de julho de 2026.</w:t>
      </w:r>
    </w:p>
    <w:p>
      <w:r>
        <w:t>Melina Gadelha Carvalho</w:t>
      </w:r>
    </w:p>
    <w:p>
      <w:pPr>
        <w:pStyle w:val="Heading2"/>
      </w:pPr>
      <w:r>
        <w:t>ATO DECLARATÓRIO EXECUTIVO DECEX Nº 179, de 28 de agosto de 2026</w:t>
      </w:r>
    </w:p>
    <w:p>
      <w:pPr>
        <w:pStyle w:val="ListBullet"/>
      </w:pPr>
      <w:r>
        <w:t>Ementa: Declara habilitada ao regime aduaneiro especial de utilização econômica destinado a bens a serem utilizados nas atividades de exploração, desenvolvimento e produção de petróleo e de gás natural (Repetro), na modalidade Repetro-Sped, a pessoa jurídica que menciona.</w:t>
      </w:r>
    </w:p>
    <w:p>
      <w:r>
        <w:t>Categoria: Ministério da Fazenda/Secretaria Especial da Receita Federal do Brasil/Secretaria-Adjunta/Superintendência Regional da Receita Federal do Brasil 7ª Região Fiscal/Delegacia de Fiscalização de Comércio Exterior da Receita Federal do Brasil no Rio de Janeiro</w:t>
      </w:r>
    </w:p>
    <w:p>
      <w:r>
        <w:t>Página: 23</w:t>
      </w:r>
    </w:p>
    <w:p/>
    <w:p>
      <w:r>
        <w:t>ATO DECLARATÓRIO EXECUTIVO DECEX Nº 179, de 28 de agosto de 2026</w:t>
      </w:r>
    </w:p>
    <w:p>
      <w:r>
        <w:t>Declara habilitada ao regime aduaneiro especial de utilização econômica destinado a bens a serem utilizados nas atividades de exploração, desenvolvimento e produção de petróleo e de gás natural (Repetro), na modalidade Repetro-Sped, a pessoa jurídica que menciona.</w:t>
      </w:r>
    </w:p>
    <w:p>
      <w:r>
        <w:t>O DELEGADO ADUNTO DE FISCALIZAÇÃO DA RECEITA FEDERAL DO BRASIL NO RIO DE JANEIRO, no uso da competência prevista no art. 6º, caput, da Instrução Normativa RFB nº 1.781, de 29 de dezembro de 2017, declara:</w:t>
      </w:r>
    </w:p>
    <w:p>
      <w:r>
        <w:t>Art. 1º Com base no dossiê de atendimento (DDA) nº 13113.155294/2026-28, e em conformidade com o item B.1.4 da Seção de Perguntas e Respostas do Manual de Habilitação ao Repetro-Sped c/c § 6º do art. 6º da IN RFB 1.781/2017, fica habilitada, a título precário, ao regime aduaneiro especial de utilização econômica destinado a bens a serem utilizados nas atividades de exploração, desenvolvimento e produção de petróleo e de gás natural, Repetro - instituído pelo Decreto nº 3.161/99, com base no § único do artigo 79 da Lei nº 9.430/96 e regulamentado pelos artigos 458 a 462 do Decreto nº 6.759/09 - na modalidade Repetro-Sped, nos termos dos artigos 2º, incisos III e IV, 4º, § 1º, inciso I, 5º e 6º, caput e §§ 5º e 6º, da IN RFB nº 1.781/2017, , a pessoa jurídica PRIO FORTE S.A., CNPJ (matriz) nº 08.926.302/0001-05 e os estabelecimentos de CNPJ nº 08.926.302/0013-30, 08.926.302/0021-40, 08.926.302/0023-02, 08.926.302/0007-92, 08.926.302/0006-01, 08.926.302/0025-74, 08.926.302/0017-64, 08.926.302/0018-45, 08.926.302/0014-11, 08.926.302/0015-00, 08.926.302/0019-26, 08.926.302/0011-79 e 08.926.302/0012-50, para atuar como operadora pelo prazo de 90 dias contados a partir da publicação do presente ADE.</w:t>
      </w:r>
    </w:p>
    <w:p>
      <w:r>
        <w:t>Art. 2º Deve ser observado ainda o disposto na citada Instrução Normativa, em especial nos artigos 1º a 3º e no caso de descumprimento do regime aplica-se o disposto no art. 311 do Decreto nº 6.759/09 e a multa prevista no art. 72, inciso I, da Lei nº 10.833/03, sem prejuízo de outras penalidades cabíveis.</w:t>
      </w:r>
    </w:p>
    <w:p>
      <w:r>
        <w:t>Art. 3º Permanecerá em vigência, em caráter excepcional, o ADE DECEX RJO nº 07 de 21/01/2026 da Prio Forte S.A., publicado no DOU de 21/01/2026, no período em que perdurar a habilitação precária, que trata o presente requerimento, e fica revogado o ADE DECEX RJO nº 112 da PRIO BRAVO LTDA., CNPJ (matriz) nº 03.255.266/0001-73. de 02/06/2026, publicado no DOU em 08/06/2026, que tratou da primeira habilitação precária da pessoa jurídica no regime.</w:t>
      </w:r>
    </w:p>
    <w:p>
      <w:r>
        <w:t>Art. 4º Este Ato Declaratório Executivo entra em vigor na data de sua publicação no Diário Oficial da União</w:t>
      </w:r>
    </w:p>
    <w:p>
      <w:r>
        <w:t>MARCUS ANTONIO BRUNO DE ALBUQUERQUE</w:t>
      </w:r>
    </w:p>
    <w:p>
      <w:r>
        <w:t>ANEXO: e-processo nº 13113.155294/2026-28</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Nome (Campo)</w:t>
            </w:r>
          </w:p>
        </w:tc>
        <w:tc>
          <w:tcPr>
            <w:tcW w:type="dxa" w:w="2880"/>
          </w:tcPr>
          <w:p>
            <w:r>
              <w:t>Localização (Bacia Sedimentar)</w:t>
            </w:r>
          </w:p>
        </w:tc>
        <w:tc>
          <w:tcPr>
            <w:tcW w:type="dxa" w:w="2880"/>
          </w:tcPr>
          <w:p>
            <w:r>
              <w:t>Processo SEI ANP (troca titularidade)</w:t>
            </w:r>
          </w:p>
        </w:tc>
      </w:tr>
      <w:tr>
        <w:tc>
          <w:tcPr>
            <w:tcW w:type="dxa" w:w="2880"/>
          </w:tcPr>
          <w:p>
            <w:r>
              <w:t>Polvo (BM-C-08)</w:t>
            </w:r>
          </w:p>
        </w:tc>
        <w:tc>
          <w:tcPr>
            <w:tcW w:type="dxa" w:w="2880"/>
          </w:tcPr>
          <w:p>
            <w:r>
              <w:t>Bacia Campos - RJ</w:t>
            </w:r>
          </w:p>
        </w:tc>
        <w:tc>
          <w:tcPr>
            <w:tcW w:type="dxa" w:w="2880"/>
          </w:tcPr>
          <w:p>
            <w:r>
              <w:t>48610.003888/2000</w:t>
            </w:r>
          </w:p>
        </w:tc>
      </w:tr>
      <w:tr>
        <w:tc>
          <w:tcPr>
            <w:tcW w:type="dxa" w:w="2880"/>
          </w:tcPr>
          <w:p>
            <w:r>
              <w:t>Tubarão Martelo (BM -C-39)</w:t>
            </w:r>
          </w:p>
        </w:tc>
        <w:tc>
          <w:tcPr>
            <w:tcW w:type="dxa" w:w="2880"/>
          </w:tcPr>
          <w:p>
            <w:r>
              <w:t>Bacia Campos - RJ</w:t>
            </w:r>
          </w:p>
        </w:tc>
        <w:tc>
          <w:tcPr>
            <w:tcW w:type="dxa" w:w="2880"/>
          </w:tcPr>
          <w:p>
            <w:r>
              <w:t>48610.00001367/2008-54</w:t>
            </w:r>
          </w:p>
        </w:tc>
      </w:tr>
    </w:tbl>
    <w:p/>
    <w:p>
      <w:r>
        <w:t>Nome</w:t>
      </w:r>
    </w:p>
    <w:p>
      <w:r>
        <w:t>(Campo)</w:t>
      </w:r>
    </w:p>
    <w:p>
      <w:r>
        <w:t>Localização</w:t>
      </w:r>
    </w:p>
    <w:p>
      <w:r>
        <w:t>(Bacia Sedimentar)</w:t>
      </w:r>
    </w:p>
    <w:p>
      <w:r>
        <w:t>Processo SEI ANP</w:t>
      </w:r>
    </w:p>
    <w:p>
      <w:r>
        <w:t>(troca titularidade)</w:t>
      </w:r>
    </w:p>
    <w:p>
      <w:r>
        <w:t>Polvo (BM-C-08)</w:t>
      </w:r>
    </w:p>
    <w:p>
      <w:r>
        <w:t>Bacia Campos - RJ</w:t>
      </w:r>
    </w:p>
    <w:p>
      <w:r>
        <w:t>48610.003888/2000</w:t>
      </w:r>
    </w:p>
    <w:p>
      <w:r>
        <w:t>Tubarão Martelo (BM -C-39)</w:t>
      </w:r>
    </w:p>
    <w:p>
      <w:r>
        <w:t>Bacia Campos - RJ</w:t>
      </w:r>
    </w:p>
    <w:p>
      <w:r>
        <w:t>48610.00001367/2008-54</w:t>
      </w:r>
    </w:p>
    <w:p>
      <w:pPr>
        <w:pStyle w:val="Heading2"/>
      </w:pPr>
      <w:r>
        <w:t>ATO DECLARATÓRIO EXECUTIVO ALF/RJO Nº 44, 27 DE AGOSTO DE 2026</w:t>
      </w:r>
    </w:p>
    <w:p>
      <w:pPr>
        <w:pStyle w:val="ListBullet"/>
      </w:pPr>
      <w:r>
        <w:t>Ementa: Inscrição no Registro de Ajudante de Despachante Aduaneiro.</w:t>
      </w:r>
    </w:p>
    <w:p>
      <w:r>
        <w:t>Categoria: Ministério da Fazenda/Secretaria Especial da Receita Federal do Brasil/Secretaria-Adjunta/Superintendência Regional da Receita Federal do Brasil 7ª Região Fiscal/Alfândega da Receita Federal do Brasil no Porto do Rio de Janeiro</w:t>
      </w:r>
    </w:p>
    <w:p>
      <w:r>
        <w:t>Página: 23</w:t>
      </w:r>
    </w:p>
    <w:p/>
    <w:p>
      <w:r>
        <w:t>ATO DECLARATÓRIO EXECUTIVO ALF/RJO Nº 44, 27 DE AGOSTO DE 2026</w:t>
      </w:r>
    </w:p>
    <w:p>
      <w:r>
        <w:t>Inscrição no Registro de Ajudante de Despachante Aduaneiro.</w:t>
      </w:r>
    </w:p>
    <w:p>
      <w:r>
        <w:t>O DELEGADO-ADJUNTO DA ALFÂNDEGA NO PORTO DO RIO DE JANEIRO, no uso das atribuições que lhe conferem os artigos 360 e 364 do Regimento Interno da Secretaria Especial da Receita Federal do Brasil do Ministério da Economia, aprovado pela Portaria ME nº 284, de 27 de julho de 2020, e considerando o disposto no artigo 810 do Decreto nº 6.759, de 05 de fevereiro de 2009, nos termos do artigo 12, da Instrução Normativa RFB nº 1.209, de 7 de novembro de 2011. declara:</w:t>
      </w:r>
    </w:p>
    <w:p>
      <w:r>
        <w:t>Art. 1º A inscrição no Registro de Ajudante de Despachante Aduaneiro da seguinte pessoa física:</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NOME</w:t>
            </w:r>
          </w:p>
        </w:tc>
        <w:tc>
          <w:tcPr>
            <w:tcW w:type="dxa" w:w="2880"/>
          </w:tcPr>
          <w:p>
            <w:r>
              <w:t>CPF</w:t>
            </w:r>
          </w:p>
        </w:tc>
        <w:tc>
          <w:tcPr>
            <w:tcW w:type="dxa" w:w="2880"/>
          </w:tcPr>
          <w:p>
            <w:r>
              <w:t>Processo</w:t>
            </w:r>
          </w:p>
        </w:tc>
      </w:tr>
      <w:tr>
        <w:tc>
          <w:tcPr>
            <w:tcW w:type="dxa" w:w="2880"/>
          </w:tcPr>
          <w:p>
            <w:r>
              <w:t>WENDEL CASSEMIRO VIEIRA SILVA</w:t>
            </w:r>
          </w:p>
        </w:tc>
        <w:tc>
          <w:tcPr>
            <w:tcW w:type="dxa" w:w="2880"/>
          </w:tcPr>
          <w:p>
            <w:r>
              <w:t>076.XXX.XXX-38</w:t>
            </w:r>
          </w:p>
        </w:tc>
        <w:tc>
          <w:tcPr>
            <w:tcW w:type="dxa" w:w="2880"/>
          </w:tcPr>
          <w:p>
            <w:r>
              <w:t>13113.234652/2026-68</w:t>
            </w:r>
          </w:p>
        </w:tc>
      </w:tr>
    </w:tbl>
    <w:p/>
    <w:p>
      <w:r>
        <w:t>NOME</w:t>
      </w:r>
    </w:p>
    <w:p>
      <w:r>
        <w:t>CPF</w:t>
      </w:r>
    </w:p>
    <w:p>
      <w:r>
        <w:t>Processo</w:t>
      </w:r>
    </w:p>
    <w:p>
      <w:r>
        <w:t>WENDEL CASSEMIRO VIEIRA SILVA</w:t>
      </w:r>
    </w:p>
    <w:p>
      <w:r>
        <w:t>076.XXX.XXX-38</w:t>
      </w:r>
    </w:p>
    <w:p>
      <w:r>
        <w:t>13113.234652/2026-68</w:t>
      </w:r>
    </w:p>
    <w:p>
      <w:r>
        <w:t>Art. 2º Este Ato Declaratório Executivo entra em vigor na data de sua publicação no Diário Oficial da União.</w:t>
      </w:r>
    </w:p>
    <w:p>
      <w:r>
        <w:t>Claudio Rodrigues Ribeiro</w:t>
      </w:r>
    </w:p>
    <w:p>
      <w:pPr>
        <w:pStyle w:val="Heading2"/>
      </w:pPr>
      <w:r>
        <w:t>ATO DECLARATÓRIO EXECUTIVO Nº 8, de 26 de agosto de 2026</w:t>
      </w:r>
    </w:p>
    <w:p>
      <w:pPr>
        <w:pStyle w:val="ListBullet"/>
      </w:pPr>
      <w:r>
        <w:t>Ementa: Autoriza a empresa 3A Log Armazenamento e Logistica Ltda a operar Recinto Especial para Despacho Aduaneiro de Exportação (Redex).</w:t>
      </w:r>
    </w:p>
    <w:p>
      <w:r>
        <w:t>Categoria: Ministério da Fazenda/Secretaria Especial da Receita Federal do Brasil/Secretaria-Adjunta/Superintendência Regional da Receita Federal do Brasil 5ª Região Fiscal</w:t>
      </w:r>
    </w:p>
    <w:p>
      <w:r>
        <w:t>Página: 22</w:t>
      </w:r>
    </w:p>
    <w:p/>
    <w:p>
      <w:r>
        <w:t>ATO DECLARATÓRIO EXECUTIVO Nº 8, de 26 de agosto de 2026</w:t>
      </w:r>
    </w:p>
    <w:p>
      <w:r>
        <w:t>Autoriza a empresa 3A Log Armazenamento e Logistica Ltda a operar Recinto Especial para Despacho Aduaneiro de Exportação (Redex).</w:t>
      </w:r>
    </w:p>
    <w:p>
      <w:r>
        <w:t>O SUPERINTENDENTE DA RECEITA FEDERAL DO BRASIL DA 5ª REGIÃO FISCAL, no uso de suas atribuições que lhe confere o inciso VI do art. 359 do Regimento Interno da Secretaria Especial da Receita Federal do Brasil (RFB), aprovado pela Portaria ME nº 284, de 27 de julho de 2020, considerando os termos e condições dispostos na Instrução Normativa SRF nº 114, de 31 de dezembro de 2001, e na Portaria SRRF05 nº 51, de 19 de julho de 2021, e tendo em vista o que consta do Processo nº 10271.094842/2026-25, declara:</w:t>
      </w:r>
    </w:p>
    <w:p>
      <w:r>
        <w:t>Art. 1º Fica autorizada a empresa 3A Log Armazenamento e Logística Ltda, CNPJ 42.257.552/0001-20, a operar o Recinto Especial para Despacho Aduaneiro de Exportação (Redex) denominado 3A LOG, em área de 47.763,89m², localizado na Rod BR 324 Km 16, s/n, Águas Claras, Salvador, Bahia, posição georreferenciada: -12.851889, -38.429472.</w:t>
      </w:r>
    </w:p>
    <w:p>
      <w:r>
        <w:t>Parágrafo único. Os serviços de fiscalização aduaneira no recinto serão prestados, em caráter permanente, por equipe designada em função da demanda prevista.</w:t>
      </w:r>
    </w:p>
    <w:p>
      <w:r>
        <w:t>Art. 2º O recinto está sob a jurisdição da Alfândega da Receita Federal do Brasil em Salvador (ALF/SDR), que baixará as rotinas operacionais que se fizerem necessárias ao controle fiscal.</w:t>
      </w:r>
    </w:p>
    <w:p>
      <w:r>
        <w:t>Art. 3º Fica atribuído o código Siscomex 5922703 ao recinto.</w:t>
      </w:r>
    </w:p>
    <w:p>
      <w:r>
        <w:t>Art. 4º Este Ato Declaratório Executivo entra em vigor na data de sua publicação no Diário Oficial da União.</w:t>
      </w:r>
    </w:p>
    <w:p>
      <w:r>
        <w:t>FRANCISCO LESSA RIBEIRO JUNIOR</w:t>
      </w:r>
    </w:p>
    <w:p>
      <w:pPr>
        <w:pStyle w:val="Heading2"/>
      </w:pPr>
      <w:r>
        <w:t>ATO DECLARATÓRIO EXECUTIVO ALF/REC Nº 25, DE 28 DE AGOSTO DE 2026</w:t>
      </w:r>
    </w:p>
    <w:p>
      <w:pPr>
        <w:pStyle w:val="ListBullet"/>
      </w:pPr>
      <w:r>
        <w:t>Ementa: Certifica como Operador Econômico Autorizado a pessoa jurídica que especifica.</w:t>
      </w:r>
    </w:p>
    <w:p>
      <w:r>
        <w:t>Categoria: Ministério da Fazenda/Secretaria Especial da Receita Federal do Brasil/Secretaria-Adjunta/Superintendência Regional da Receita Federal do Brasil 4ª Região Fiscal/Alfândega da Receita Federal do Brasil em Recife</w:t>
      </w:r>
    </w:p>
    <w:p>
      <w:r>
        <w:t>Página: 22</w:t>
      </w:r>
    </w:p>
    <w:p/>
    <w:p>
      <w:r>
        <w:t>ATO DECLARATÓRIO EXECUTIVO ALF/REC Nº 25, DE 28 DE AGOSTO DE 2026</w:t>
      </w:r>
    </w:p>
    <w:p>
      <w:r>
        <w:t>Certifica como Operador Econômico Autorizado a pessoa jurídica que especifica.</w:t>
      </w:r>
    </w:p>
    <w:p>
      <w:r>
        <w:t>O AUDITOR-FISCAL DA RECEITA FEDERAL DO BRASIL, no uso das atribuições que lhe confere o art. 325 do Regimento Interno da Secretaria Especial da Receita Federal do Brasil, aprovado pela Portaria ME nº 284, de 27 de julho de 2020, e o art. 22 da Instrução Normativa RFB nº 2.318, de 26 de março de 2026, no âmbito de sua atuação na Equipe de Gestão de Operadores Econômicos Autorizados (EqOEA), e tendo em vista o que consta do requerimento de certificação OEA nº 23.005 do Portal Siscomex, declara:</w:t>
      </w:r>
    </w:p>
    <w:p>
      <w:r>
        <w:t>Art. 1º Certificada como Operador Econômico Autorizado, em caráter precário, com prazo de validade indeterminado, na modalidade OEA-Conformidade, nível OEA-C Qualificado, função exportador/importador, a empresa BERCOSUL LTDA., inscrita no CNPJ sob nº 04.436.214/0003-28.</w:t>
      </w:r>
    </w:p>
    <w:p>
      <w:r>
        <w:t>Art. 2º Esta certificação é extensiva a todos os estabelecimentos da pessoa jurídica supracitada.</w:t>
      </w:r>
    </w:p>
    <w:p>
      <w:r>
        <w:t>Art. 3º Este Ato Declaratório Executivo entra em vigor na data de sua publicação no Diário Oficial da União.</w:t>
      </w:r>
    </w:p>
    <w:p>
      <w:r>
        <w:t>EDSON NOGUEIRA DE MORAES</w:t>
      </w:r>
    </w:p>
    <w:p>
      <w:pPr>
        <w:pStyle w:val="Heading2"/>
      </w:pPr>
      <w:r>
        <w:t>PORTARIA CGCCR/SUSEP nº 30, de 28 de agosto de 2026</w:t>
      </w:r>
    </w:p>
    <w:p>
      <w:r>
        <w:t>Categoria: Ministério da Fazenda/Superintendência de Seguros Privados/Diretoria de Organização de Mercado e Regulação de Conduta/Coordenação-Geral de Credenciamentos, Cadastros e Regimes Especiais</w:t>
      </w:r>
    </w:p>
    <w:p>
      <w:r>
        <w:t>Página: 24</w:t>
      </w:r>
    </w:p>
    <w:p/>
    <w:p>
      <w:r>
        <w:t>PORTARIA CGCCR/SUSEP nº 30, de 28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 do art. 4º da Lei Complementar nº 126, de 15 de janeiro de 2007, no inciso II do art. 5º, no §2º do art. 26 e no §7º do art. 28, todos da Resolução CNSP nº 422, de 11 de novembro de 2021, e o que consta do processo Susep nº 15414.635822/2026-69, resolve:</w:t>
      </w:r>
    </w:p>
    <w:p>
      <w:r>
        <w:t>Art1ºFica homologada a atualização cadastral anual de 2026 de STARR INSURANCE &amp; REINSURANCE LIMITED, CNPJ nº 20.869.397/0001-60, sociedade organizada e existente de acordo com as leis de Ilhas Bermudas, cadastrada como ressegurador admitido, conforme Portaria SUSEP/DIRAT Nº 119, de 16 de janeiro de 2015.</w:t>
      </w:r>
    </w:p>
    <w:p>
      <w:r>
        <w:t>Art.2ºFica ratificado que a Sra. Álida Lydia Verleun exerce a função de procuradora e representante do Ressegurador.</w:t>
      </w:r>
    </w:p>
    <w:p>
      <w:r>
        <w:t>Art.3º Esta Portaria entra em vigor na data de sua publicação.</w:t>
      </w:r>
    </w:p>
    <w:p>
      <w:r>
        <w:t>JONAS DOS SANTOS SOUSA</w:t>
      </w:r>
    </w:p>
    <w:p>
      <w:pPr>
        <w:pStyle w:val="Heading2"/>
      </w:pPr>
      <w:r>
        <w:t>DESPACHO Nº 38, DE 28 DE AGOSTO DE 2026</w:t>
      </w:r>
    </w:p>
    <w:p>
      <w:pPr>
        <w:pStyle w:val="ListBullet"/>
      </w:pPr>
      <w:r>
        <w:t>Ementa: Publica Protocolo ICMS celebrado entre os Estados e o Distrito Federal.</w:t>
      </w:r>
    </w:p>
    <w:p>
      <w:r>
        <w:t>Categoria: Ministério da Fazenda/Conselho Nacional de Política Fazendária</w:t>
      </w:r>
    </w:p>
    <w:p>
      <w:r>
        <w:t>Página: 18</w:t>
      </w:r>
    </w:p>
    <w:p/>
    <w:p>
      <w:r>
        <w:t>DESPACHO Nº 38, DE 28 DE AGOSTO DE 2026</w:t>
      </w:r>
    </w:p>
    <w:p>
      <w:r>
        <w:t>Publica Protocolo ICMS celebrado entre os Estados e o Distrito Federal.</w:t>
      </w:r>
    </w:p>
    <w:p>
      <w:r>
        <w:t>O Secretário-Executivo da Secretaria-Executiva do Conselho Nacional de Política Fazendária - CONFAZ, no uso das atribuições que lhe são conferidas pelo inciso IX, do art. 5º do Regimento desse Conselho, e em cumprimento ao disposto nos arts. 39 e 40 desse mesmo diploma,</w:t>
      </w:r>
    </w:p>
    <w:p>
      <w:r>
        <w:t>CONSIDERANDO as manifestações favoráveis das unidades federadas registradas no processo SEI nº 12004.000637/2026-92 e nos demais processos correlatos, faz publicar o seguinte protocolo ICMS celebrado entre as Secretarias de Fazenda, que receberam manifestações favoráveis na 205ª Reunião Ordinária da COTEPE/ICMS, realizada nos dias 18 a 21 de agosto de 2026:</w:t>
      </w:r>
    </w:p>
    <w:p>
      <w:r>
        <w:t>PROTOCOLO ICMS Nº 89, DE 27 DE AGOSTO DE 2025</w:t>
      </w:r>
    </w:p>
    <w:p>
      <w:r>
        <w:t>Exclui o Estado de São Paulo do Protocolo ICM nº 16, de 25 de julho de 1985, que dispõe sobre a substituição tributária nas operações com lâmina de barbear, aparelho de barbear descartável e isqueiro.</w:t>
      </w:r>
    </w:p>
    <w:p>
      <w:r>
        <w:t>Os Estados do Acre, Alagoas, Amapá, Amazonas, Espírito Santo, Goiás, Maranhão, Mato Grosso, Mato Grosso do Sul, Minas Gerais, Pará, Paraíba, Paraná, Pernambuco, Piauí, Rio de Janeiro, Rio Grande do Norte, Rio Grande do Sul, Rondônia, Roraima, São Paulo, Sergipe e Tocantins e o Distrito Federal, neste ato representados pelos seus respectivos Secretários de Fazenda, considerando o disposto nos arts. 102 e 199 do Código Tributário Nacional (Lei n. 5.172, de 25 de outubro de 1966) e no art. 9º da Lei Complementar nº 87, de 13 de setembro de 1996, resolvem celebrar o seguinte</w:t>
      </w:r>
    </w:p>
    <w:p>
      <w:r>
        <w:t>PROTOCOLO</w:t>
      </w:r>
    </w:p>
    <w:p>
      <w:r>
        <w:t>Cláusula primeira O Estado de São Paulo fica excluído das disposições do Protocolo ICM nº 16, de 25 de julho de 1985, publicado no Diário Oficial da União de 29 de julho de 1985.</w:t>
      </w:r>
    </w:p>
    <w:p>
      <w:r>
        <w:t>Cláusula segunda O preâmbulo do Protocolo ICM nº 16/85 passa a vigorar com a seguinte redação:</w:t>
      </w:r>
    </w:p>
    <w:p>
      <w:r>
        <w:t>"Os Estados do Acre, Alagoas, Amapá, Amazonas, Espírito Santo, Goiás, Maranhão, Mato Grosso, Mato Grosso do Sul, Minas Gerais, Pará, Paraíba, Paraná, Pernambuco, Piauí, Rio de Janeiro, Rio Grande do Norte, Rio Grande do Sul, Rondônia, Roraima, Sergipe e Tocantins e o Distrito Federal, neste ato representados pelos seus respectivos Secretários de Fazenda, Economia ou Finanças, considerando o disposto nos arts. 102 e 199 do Código Tributário Nacional (Lei nº 5.172, de 25 de outubro de 1966), no art. 9º da Lei Complementar nº 87, de 13 de setembro de 1996, e no Convênio ICMS nº 142, de 14 de dezembro de 2018, resolvem celebrar o seguinte".</w:t>
      </w:r>
    </w:p>
    <w:p>
      <w:r>
        <w:t>Cláusula terceira Os incisos II e III do § 1º da cláusula primeira do Protocolo ICM nº 16/85 ficam revogados.</w:t>
      </w:r>
    </w:p>
    <w:p>
      <w:r>
        <w:t>Cláusula quarta Este protocolo entra em vigor na data da sua publicação no Diário Oficial da União.</w:t>
      </w:r>
    </w:p>
    <w:p>
      <w:r>
        <w:t>Acre - José Amarísio Freitas de Souza, Alagoas - Renata dos Santos, Amapá - Jesus de Nazaré Almeida Vidal, Amazonas - Dario José Braga Paim, Distrito Federal - Valdivino José de Oliveira, Espírito Santo - Benicio Suzana Costa, Goiás - Renata Lacerda Noleto, Maranhão - Marcellus Ribeiro Alves, Mato Grosso - Fábio Fernandes Pimenta, Mato Grosso do Sul - Flávio César Mendes de Oliveira, Minas Gerais - Luciana Mundim de Mattos Paixão, Pará - René de Oliveira e Sousa Júnior, Paraíba - Marialvo Laureano dos Santos Filho, Paraná - Norberto Anacleto Ortigara, Pernambuco - Flávio Martins Sodre da Mota, Piauí - Emílio Joaquim de Oliveira Junior, Rio de Janeiro - Guilherme Macedo Reis Mercês, Rio Grande do Norte - Álvaro Luiz Bezerra, Rio Grande do Sul - Pricilla Maria Santana, Rondônia - Franco Maegaki Ono, Roraima - Francisco Flamario Portela, São Paulo - Samuel Yoshiaki Oliveira Kinoshita, Sergipe - Sarah Tarsila Araujo Andreozzi, Tocantins - Donizeth Aparecido Silva.</w:t>
      </w:r>
    </w:p>
    <w:p>
      <w:r>
        <w:t>CARLOS HENRIQUE DE AZEVEDO OLIVEIRA</w:t>
      </w:r>
    </w:p>
    <w:p>
      <w:pPr>
        <w:pStyle w:val="Heading2"/>
      </w:pPr>
      <w:r>
        <w:t>DESPACHO Nº 39, DE 28 DE AGOSTO DE 2026</w:t>
      </w:r>
    </w:p>
    <w:p>
      <w:pPr>
        <w:pStyle w:val="ListBullet"/>
      </w:pPr>
      <w:r>
        <w:t>Ementa: Denúncia, pelo Estado do Rio Grande do Sul, do Convênio ICMS nº 102/17.</w:t>
      </w:r>
    </w:p>
    <w:p>
      <w:r>
        <w:t>Categoria: Ministério da Fazenda/Conselho Nacional de Política Fazendária</w:t>
      </w:r>
    </w:p>
    <w:p>
      <w:r>
        <w:t>Página: 18</w:t>
      </w:r>
    </w:p>
    <w:p/>
    <w:p>
      <w:r>
        <w:t>DESPACHO Nº 39, DE 28 DE AGOSTO DE 2026</w:t>
      </w:r>
    </w:p>
    <w:p>
      <w:r>
        <w:t>Denúncia, pelo Estado do Rio Grande do Sul, do Convênio ICMS nº 102/17.</w:t>
      </w:r>
    </w:p>
    <w:p>
      <w:r>
        <w:t>O Secretário-Executivo da Secretaria-Executiva do Conselho Nacional de Política Fazendária - CONFAZ, no uso das atribuições que lhe são conferidas pelo inciso IX do art. 5º do Regimento desse Conselho, e tendo em vista o disposto no § 2º da cláusula segunda, bem como no inciso II da cláusula trigésima primeira, ambos do Convênio ICMS nº 142, de 14 de dezembro de 2018,</w:t>
      </w:r>
    </w:p>
    <w:p>
      <w:r>
        <w:t>CONSIDERANDO o comunicado recebido da Secretaria da Fazenda do Estado do Rio Grande do Sul no dia 28 de agosto de 2026, registrado no processo SEI nº 12004.000821/2026-32, torna público, que a referida unidade federada denunciou, por meio do Decreto Estadual nº 58.937, de 27 de agosto de 2026, o seguinte convênio ICMS, produzindo efeitos a partir de 1º de janeiro de 2027:</w:t>
      </w:r>
    </w:p>
    <w:p>
      <w:r>
        <w:t>- Convênio ICMS nº 102, de 29 de setembro de 2017, que dispõe sobre a substituição tributária nas operações com pneumáticos, câmaras de ar e protetores de borracha relacionados no Anexo XVI do Convênio ICMS 142/18, que dispõe sobre os regimes de substituição tributária e de antecipação de recolhimento do Imposto sobre Operações relativas à Circulação de Mercadorias e sobre Prestações de Serviço de Transporte Interestadual e de Comunicação (ICMS) com encerramento de tributação, relativos ao imposto devido pelas operações subsequentes.</w:t>
      </w:r>
    </w:p>
    <w:p>
      <w:r>
        <w:t>CARLOS HENRIQUE DE AZEVEDO OLIVEIRA</w:t>
      </w:r>
    </w:p>
    <w:p>
      <w:pPr>
        <w:pStyle w:val="Heading2"/>
      </w:pPr>
      <w:r>
        <w:t>ATO DECLARATÓRIO EXECUTIVO ALF/BSB Nº 39, DE 28 DE AGOSTO DE 2026</w:t>
      </w:r>
    </w:p>
    <w:p>
      <w:r>
        <w:t>Categoria: Ministério da Fazenda/Secretaria Especial da Receita Federal do Brasil/Secretaria-Adjunta/Superintendência Regional da Receita Federal do Brasil 1ª Região Fiscal/Alfândega da Receita Federal do Brasil no Aeroporto Internacional de Brasília</w:t>
      </w:r>
    </w:p>
    <w:p>
      <w:r>
        <w:t>Página: 22</w:t>
      </w:r>
    </w:p>
    <w:p/>
    <w:p>
      <w:r>
        <w:t>ATO DECLARATÓRIO EXECUTIVO ALF/BSB Nº 39, DE 28 DE AGOSTO DE 2026</w:t>
      </w:r>
    </w:p>
    <w:p>
      <w:r>
        <w:t>A DELEGADA ADJUNTA DA ALFÂNDEGA DA RECEITA FEDERAL DO BRASIL NO AEROPORTO INTERNACIONAL DE BRASILIA - PRESIDENTE JUSCELINO KUBITSCHEK, no uso de suas atribuições e de acordo com a competência conferida pelo art. 11, § 3º da Instrução Normativa SRF nº 338, de 7 de julho de 2003, atendendo ao que consta do processo nº 10111.721921/2026-53 e com fundamento no art. 131 combinado com o art. 124 do Regulamento Aduaneiro, aprovado pelo Decreto nº 6.759, de 05/02/2009, DECLARA: face à dispensa do pagamento de tributos, por efeito de depreciação, e após a publicação do presente ato no Diário Oficial da União, acha-se liberado, para fins de transferência de propriedade, o veículo marca TOYOTA, modelo RAV4, ano 2018, cor AZUL, chassi JTMRFREV3JJ733833, desembaraçado pela Declaração de Importação nº 23/1391293-0, de 18/07/2023, pela Alfândega no Porto do Rio de Janeiro, de propriedade de LUKE DE LOS SANTOS ORTEGA, CPF nº xxx.580.081-xx.</w:t>
      </w:r>
    </w:p>
    <w:p>
      <w:r>
        <w:t>Este Ato Declaratório somente produzirá efeitos perante o Departamento de Trânsito quando acompanhado de cópia da sua publicação no Diário Oficial da União.</w:t>
      </w:r>
    </w:p>
    <w:p>
      <w:r>
        <w:t>JULIANA MOREIRA SENNA GUIMARAES</w:t>
      </w:r>
    </w:p>
    <w:p>
      <w:pPr>
        <w:pStyle w:val="Heading2"/>
      </w:pPr>
      <w:r>
        <w:t>ATO DECLARATÓRIO EXECUTIVO ALF/BSB Nº 40, DE 28 DE AGOSTO DE 2026</w:t>
      </w:r>
    </w:p>
    <w:p>
      <w:r>
        <w:t>Categoria: Ministério da Fazenda/Secretaria Especial da Receita Federal do Brasil/Secretaria-Adjunta/Superintendência Regional da Receita Federal do Brasil 1ª Região Fiscal/Alfândega da Receita Federal do Brasil no Aeroporto Internacional de Brasília</w:t>
      </w:r>
    </w:p>
    <w:p>
      <w:r>
        <w:t>Página: 22</w:t>
      </w:r>
    </w:p>
    <w:p/>
    <w:p>
      <w:r>
        <w:t>ATO DECLARATÓRIO EXECUTIVO ALF/BSB Nº 40, DE 28 DE AGOSTO DE 2026</w:t>
      </w:r>
    </w:p>
    <w:p>
      <w:r>
        <w:t>A DELEGADA ADJUNTA DA ALFÂNDEGA DA RECEITA FEDERAL DO BRASIL NO AEROPORTO INTERNACIONAL DE BRASILIA - PRESIDENTE JUSCELINO KUBITSCHEK, no uso de suas atribuições e de acordo com a competência conferida pelo art. 11, § 3º da Instrução Normativa SRF nº 338, de 7 de julho de 2003, atendendo ao que consta do processo nº 10111.722269/2026-94 e com fundamento no art. 131 combinado com o art. 124 do Regulamento Aduaneiro, aprovado pelo Decreto nº 6.759, de 05/02/2009, DECLARA: face à dispensa do pagamento de tributos, por efeito de depreciação, e após a publicação do presente ato no Diário Oficial da União, acha-se liberado, para fins de transferência de propriedade, o veículo marca BMW, modelo X6 XDRIVE 30i, ano 2022, cor BRANCA, chassi WBACY2100P9P75207, desembaraçado pela Declaração de Importação nº 23/0455244-6, de 08/03/2023, pela Alfândega de Itajaí, de propriedade de HUAN LI, CPF nº xxx.269.431-xx.</w:t>
      </w:r>
    </w:p>
    <w:p>
      <w:r>
        <w:t>Este Ato Declaratório somente produzirá efeitos perante o Departamento de Trânsito quando acompanhado de cópia da sua publicação no Diário Oficial da União.</w:t>
      </w:r>
    </w:p>
    <w:p>
      <w:r>
        <w:t>JULIANA MOREIRA SENNA GUIMARAES</w:t>
      </w:r>
    </w:p>
    <w:p>
      <w:pPr>
        <w:pStyle w:val="Heading2"/>
      </w:pPr>
      <w:r>
        <w:t>ATO DECLARATÓRIO EXECUTIVO SRRF10 Nº 14, DE 27 DE AGOSTO DE 2026</w:t>
      </w:r>
    </w:p>
    <w:p>
      <w:pPr>
        <w:pStyle w:val="ListBullet"/>
      </w:pPr>
      <w:r>
        <w:t>Ementa: Altera Ato Declaratório Executivo SRRF10 nº 13, de 23 de novembro de 2012.</w:t>
      </w:r>
    </w:p>
    <w:p>
      <w:r>
        <w:t>Categoria: Ministério da Fazenda/Secretaria Especial da Receita Federal do Brasil/Secretaria-Adjunta/Superintendência Regional da Receita Federal do Brasil 10ª Região Fiscal</w:t>
      </w:r>
    </w:p>
    <w:p>
      <w:r>
        <w:t>Página: 24</w:t>
      </w:r>
    </w:p>
    <w:p/>
    <w:p>
      <w:r>
        <w:t>ATO DECLARATÓRIO EXECUTIVO SRRF10 Nº 14, DE 27 DE AGOSTO DE 2026</w:t>
      </w:r>
    </w:p>
    <w:p>
      <w:r>
        <w:t>Altera Ato Declaratório Executivo SRRF10 nº 13, de 23 de novembro de 2012.</w:t>
      </w:r>
    </w:p>
    <w:p>
      <w:r>
        <w:t>O SUPERINTENDENTE DA RECEITA FEDERAL DO BRASIL DA 10ª REGIÃO FISCAL, no uso da atribuição que lhe confere o art. 359, inciso VI, do Regimento Interno da Secretaria Especial da Receita Federa do Brasil (RFB), aprovado pela Portaria ME nº 284, de 27 de julho de 2020, e tendo em vista o disposto no art. 31, inciso I, da Portaria RFB nº 143, de 11 de fevereiro de 2022, nos arts. 14 e 15 da Portaria COANA nº 76, de 13 de maio de 2022, e à vista do que consta do Processo Administrativo nº 11050.000415/2011-75, declara:</w:t>
      </w:r>
    </w:p>
    <w:p>
      <w:r>
        <w:t>Art. 1º O artigo 2º do Ato Declaratório Executivo (ADE) SRRF10 nº 13, de 23 de novembro de 2012, publicado no Diário Oficial da União (DOU) de 28 de novembro de 2012, passa a vigorar com a seguinte redação:</w:t>
      </w:r>
    </w:p>
    <w:p>
      <w:r>
        <w:t>"Art. 2º O alfandegamento ora concedido tem vigência até 31/12/2026, de conformidade com a Cláusula Quarta do Segundo Termo Aditivo ao Contrato de Arrendamento CA-SUPRG nº 01/1996, celebrado entre a administradora do recinto e a Superintendência do Porto de Rio Grande-RS, em 30 de dezembro de 2011." (NR)</w:t>
      </w:r>
    </w:p>
    <w:p>
      <w:r>
        <w:t>Art. 2º Este ADE entra em vigor na data de sua publicação no DOU.</w:t>
      </w:r>
    </w:p>
    <w:p>
      <w:r>
        <w:t>ALTEMIR LINHARES DE MELO</w:t>
      </w:r>
    </w:p>
    <w:p>
      <w:pPr>
        <w:pStyle w:val="Heading2"/>
      </w:pPr>
      <w:r>
        <w:t>ATO DECLARATÓRIO EXECUTIVO COANA N° 89, DE 28 DE AGOSTO DE 2026</w:t>
      </w:r>
    </w:p>
    <w:p>
      <w:pPr>
        <w:pStyle w:val="ListBullet"/>
      </w:pPr>
      <w:r>
        <w:t>Ementa: Certifica como Operador Econômico Autorizado a pessoa jurídica que especifica.</w:t>
      </w:r>
    </w:p>
    <w:p>
      <w:r>
        <w:t>Categoria: Ministério da Fazenda/Secretaria Especial da Receita Federal do Brasil/Secretaria-Adjunta/Subsecretaria de Administração Aduaneira/Coordenação-Geral de Administração Aduaneira</w:t>
      </w:r>
    </w:p>
    <w:p>
      <w:r>
        <w:t>Página: 18</w:t>
      </w:r>
    </w:p>
    <w:p/>
    <w:p>
      <w:r>
        <w:t>ATO DECLARATÓRIO EXECUTIVO COANA N° 89, DE 28 DE AGOSTO DE 2026</w:t>
      </w:r>
    </w:p>
    <w:p>
      <w:r>
        <w:t>Certifica como Operador Econômico Autorizado a pessoa jurídica que especifica.</w:t>
      </w:r>
    </w:p>
    <w:p>
      <w:r>
        <w:t>O AUDITOR-FISCAL DA RECEITA FEDERAL DO BRASIL, no uso das atribuições que lhe confere o art. 22 da Instrução Normativa RFB nº 2.318, de 26 de março de 2026, e a Portaria Coana nº 189, de 16 de abril de 2026, no âmbito de sua atuação na Gerência de Monitoramento de Habilitações de OEA (GHOEA), do Centro Nacional de Operadores Econômicos Autorizados, e tendo em vista o que consta do requerimento de certificação OEA nº 25122 do Portal Siscomex, declara:</w:t>
      </w:r>
    </w:p>
    <w:p>
      <w:r>
        <w:t>Art. 1º Certificado como Operador Econômico Autorizado, em caráter precário, com prazo de validade indeterminado, na modalidade OEA-Conformidade Essencial, CARGILL AGRICOLA S A, inscrição no CNPJ sob nº 60.498.706/0001-57.</w:t>
      </w:r>
    </w:p>
    <w:p>
      <w:r>
        <w:t>Art. 2º Esta certificação é extensiva a todos os estabelecimentos da pessoa jurídica supracitada.</w:t>
      </w:r>
    </w:p>
    <w:p>
      <w:r>
        <w:t>Art. 3º Este Ato Declaratório Executivo entra em vigor na data de sua publicação no Diário Oficial da União.</w:t>
      </w:r>
    </w:p>
    <w:p>
      <w:r>
        <w:t>AILSON ROSA SOARES E SILVA SEGUNDO</w:t>
      </w:r>
    </w:p>
    <w:p>
      <w:pPr>
        <w:pStyle w:val="Heading2"/>
      </w:pPr>
      <w:r>
        <w:t>ATO DECLARATÓRIO EXECUTIVO COANA N° 90, DE 28 DE AGOSTO DE 2026</w:t>
      </w:r>
    </w:p>
    <w:p>
      <w:pPr>
        <w:pStyle w:val="ListBullet"/>
      </w:pPr>
      <w:r>
        <w:t>Ementa: Certifica como Operador Econômico Autorizado a pessoa jurídica que especifica.</w:t>
      </w:r>
    </w:p>
    <w:p>
      <w:r>
        <w:t>Categoria: Ministério da Fazenda/Secretaria Especial da Receita Federal do Brasil/Secretaria-Adjunta/Subsecretaria de Administração Aduaneira/Coordenação-Geral de Administração Aduaneira</w:t>
      </w:r>
    </w:p>
    <w:p>
      <w:r>
        <w:t>Página: 18</w:t>
      </w:r>
    </w:p>
    <w:p/>
    <w:p>
      <w:r>
        <w:t>ATO DECLARATÓRIO EXECUTIVO COANA N° 90, DE 28 DE AGOSTO DE 2026</w:t>
      </w:r>
    </w:p>
    <w:p>
      <w:r>
        <w:t>Certifica como Operador Econômico Autorizado a pessoa jurídica que especifica.</w:t>
      </w:r>
    </w:p>
    <w:p>
      <w:r>
        <w:t>O AUDITOR-FISCAL DA RECEITA FEDERAL DO BRASIL, no uso das atribuições que lhe confere o art. 22 da Instrução Normativa RFB nº 2.318, de 26 de março de 2026, e a Portaria Coana nº 189, de 16 de abril de 2026, no âmbito de sua atuação na Gerência de Monitoramento de Habilitações de OEA (GHOEA), do Centro Nacional de Operadores Econômicos Autorizados, e tendo em vista o que consta do requerimento de certificação OEA nº 25584 do Portal Siscomex, declara:</w:t>
      </w:r>
    </w:p>
    <w:p>
      <w:r>
        <w:t>Art. 1º Certificado como Operador Econômico Autorizado, em caráter precário, com prazo de validade indeterminado, na modalidade OEA-Conformidade Essencial, EXPOTRATOR EXPORTADORA E IMPORTADORA DE PECAS E MÁQUINAS AGRICOLAS LTDA, inscrição no CNPJ sob nº 02.689.311/0001-35.</w:t>
      </w:r>
    </w:p>
    <w:p>
      <w:r>
        <w:t>Art. 2º Esta certificação é extensiva a todos os estabelecimentos da pessoa jurídica supracitada.</w:t>
      </w:r>
    </w:p>
    <w:p>
      <w:r>
        <w:t>Art. 3º Este Ato Declaratório Executivo entra em vigor na data de sua publicação no Diário Oficial da União.</w:t>
      </w:r>
    </w:p>
    <w:p>
      <w:r>
        <w:t>AILSON ROSA SOARES E SILVA SEGUNDO</w:t>
      </w:r>
    </w:p>
    <w:p>
      <w:pPr>
        <w:pStyle w:val="Heading2"/>
      </w:pPr>
      <w:r>
        <w:t>ATO DECLARATÓRIO EXECUTIVO CODAR Nº 65, DE 28 DE AGOSTO DE 2026</w:t>
      </w:r>
    </w:p>
    <w:p>
      <w:pPr>
        <w:pStyle w:val="ListBullet"/>
      </w:pPr>
      <w:r>
        <w:t>Ementa: Altera o Ato Declaratório Executivo Codar nº 4, de 23 de fevereiro de 2026, na parte em que estabelece datas de repasses de valores doados aos Fundos dos Direitos da Criança e do Adolescente - FDCA e aos Fundos dos Direitos da Pessoa Idosa - FDI por meio da Declaração de Ajuste Anual do Imposto sobre a Renda da Pessoa Física - DIRPF.</w:t>
      </w:r>
    </w:p>
    <w:p>
      <w:r>
        <w:t>Categoria: Ministério da Fazenda/Secretaria Especial da Receita Federal do Brasil/Secretaria-Adjunta/Subsecretaria de Arrecadação, Cadastros e Atendimento/Coordenação-Geral de Arrecadação e Direito Creditório</w:t>
      </w:r>
    </w:p>
    <w:p>
      <w:r>
        <w:t>Página: 19</w:t>
      </w:r>
    </w:p>
    <w:p/>
    <w:p>
      <w:r>
        <w:t>ATO DECLARATÓRIO EXECUTIVO CODAR Nº 65, DE 28 DE AGOSTO DE 2026</w:t>
      </w:r>
    </w:p>
    <w:p>
      <w:r>
        <w:t>Altera o Ato Declaratório Executivo Codar nº 4, de 23 de fevereiro de 2026, na parte em que estabelece datas de repasses de valores doados aos Fundos dos Direitos da Criança e do Adolescente - FDCA e aos Fundos dos Direitos da Pessoa Idosa - FDI por meio da Declaração de Ajuste Anual do Imposto sobre a Renda da Pessoa Física - DIRPF.</w:t>
      </w:r>
    </w:p>
    <w:p>
      <w:r>
        <w:t>O COORDENADOR-GERAL DE ARRECADAÇÃO E DE DIREITO CREDITÓRIO, no uso da atribuição que lhe confere o art. 358, caput, inciso II, do Regimento Interno da Secretaria Especial da Receita Federal do Brasil, aprovado pela Portaria ME nº 284, de 27 de julho de 2020, declara:</w:t>
      </w:r>
    </w:p>
    <w:p>
      <w:r>
        <w:t>Art. 1º O Ato Declaratório Executivo Codar nº 4, de 23 de fevereiro de 2026, passa a vigorar com as seguintes alterações:</w:t>
      </w:r>
    </w:p>
    <w:p>
      <w:r>
        <w:t>"Art. 4º .....................................................................................................................</w:t>
      </w:r>
    </w:p>
    <w:p>
      <w:r>
        <w:t>I - ..............................................................................................................................</w:t>
      </w:r>
    </w:p>
    <w:p>
      <w:r>
        <w:t>II - valores referentes aos exercícios de 2013 a 2025 ainda não repassados, até 30 de outubro de 2026.</w:t>
      </w:r>
    </w:p>
    <w:p>
      <w:r>
        <w:t>.................................................................................................................................." (NR)</w:t>
      </w:r>
    </w:p>
    <w:p>
      <w:r>
        <w:t>Art. 2º Este Ato Declaratório Executivo entra em vigor na data de sua publicação no Diário Oficial da União.</w:t>
      </w:r>
    </w:p>
    <w:p>
      <w:r>
        <w:t>ERITON LIMA DE OLIVEIRA</w:t>
      </w:r>
    </w:p>
    <w:p>
      <w:pPr>
        <w:pStyle w:val="Heading2"/>
      </w:pPr>
      <w:r>
        <w:t>PORTARIA CODAR Nº 357, DE 27 DE AGOSTO DE 2026</w:t>
      </w:r>
    </w:p>
    <w:p>
      <w:pPr>
        <w:pStyle w:val="ListBullet"/>
      </w:pPr>
      <w:r>
        <w:t>Ementa: Dispõe sobre a auditoria de Pedidos de Restituição e Declarações de Compensação - PER/DCOMP relativos a créditos previdenciários.</w:t>
      </w:r>
    </w:p>
    <w:p>
      <w:r>
        <w:t>Categoria: Ministério da Fazenda/Secretaria Especial da Receita Federal do Brasil/Secretaria-Adjunta/Subsecretaria de Arrecadação, Cadastros e Atendimento/Coordenação-Geral de Arrecadação e Direito Creditório</w:t>
      </w:r>
    </w:p>
    <w:p>
      <w:r>
        <w:t>Página: 19</w:t>
      </w:r>
    </w:p>
    <w:p/>
    <w:p>
      <w:r>
        <w:t>PORTARIA CODAR Nº 357, DE 27 DE AGOSTO DE 2026</w:t>
      </w:r>
    </w:p>
    <w:p>
      <w:r>
        <w:t>Dispõe sobre a auditoria de Pedidos de Restituição e Declarações de Compensação - PER/DCOMP relativos a créditos previdenciários.</w:t>
      </w:r>
    </w:p>
    <w:p>
      <w:r>
        <w:t>O COORDENADOR-GERAL DE ARRECADAÇÃO E DE DIREITO CREDITÓRIO, no uso das atribuições que lhe conferem o art. 74 e o art. 358, caput, incisos III e IV, do Regimento Interno da Secretaria Especial da Receita Federal do Brasil, aprovado pela Portaria ME nº 284, de 27 de julho de 2020, e tendo em vista o disposto no art. 139 da Instrução Normativa RFB nº 2.055, de 6 de dezembro de 2021, e na Portaria RFB nº 649, de 12 de fevereiro de 2026, resolve:</w:t>
      </w:r>
    </w:p>
    <w:p>
      <w:r>
        <w:t>Art. 1º As atividades de auditoria dos Pedidos de Restituição e das Declarações de Compensação - PER/DCOMP relativos a créditos previdenciários, serão realizadas pelos Auditores-Fiscais vinculados à equipe da Divisão de Gestão do Direito Creditório da Coordenação-Geral de Arrecadação e de Direito Creditório.</w:t>
      </w:r>
    </w:p>
    <w:p>
      <w:r>
        <w:t>§ 1º O objeto de atuação da equipe são os PER/DCOMP cujos números constam da planilha disponível no endereço eletrônico &lt;https://arquivos.receitafederal.gov.br/index.php/s/A3RKx5JqCoe5Q3Z&gt;.</w:t>
      </w:r>
    </w:p>
    <w:p>
      <w:r>
        <w:t>§ 2º A supervisão dos trabalhos da equipe caberá à Auditora-Fiscal da Receita Federal do Brasil Silvana de Freitas Martins Ferreira.</w:t>
      </w:r>
    </w:p>
    <w:p>
      <w:r>
        <w:t>Art. 2º Compete à equipe da Divisão de Gestão do Direito Creditório:</w:t>
      </w:r>
    </w:p>
    <w:p>
      <w:r>
        <w:t>I - auditar os PER/DCOMP e emitir os despachos decisórios correspondentes;</w:t>
      </w:r>
    </w:p>
    <w:p>
      <w:r>
        <w:t>II - expedir intimações e notificações decorrentes da execução das atividades atribuídas à equipe;</w:t>
      </w:r>
    </w:p>
    <w:p>
      <w:r>
        <w:t>III - efetuar o lançamento necessário à constituição de crédito tributário decorrente dos trabalhos de auditoria realizados pela equipe;</w:t>
      </w:r>
    </w:p>
    <w:p>
      <w:r>
        <w:t>IV - formalizar, quando cabível em decorrência dos trabalhos de auditoria realizados, representação fiscal para fins penais, observado o disposto na Portaria RFB nº 1.750, de 12 de novembro de 2018;</w:t>
      </w:r>
    </w:p>
    <w:p>
      <w:r>
        <w:t>V - rever de ofício as decisões proferidas pela equipe; e</w:t>
      </w:r>
    </w:p>
    <w:p>
      <w:r>
        <w:t>VI - assinar ofícios e demais expedientes, inclusive em atendimento a requisições, intimações e pedidos de informação, internos ou externos.</w:t>
      </w:r>
    </w:p>
    <w:p>
      <w:r>
        <w:t>§ 1º As atividades a que se refere o caput serão desenvolvidas em concorrência com Delegacia da Receita Federal do Brasil ou com Delegacia Especial da Receita Federal do Brasil, observada a jurisdição administrativa sobre o domicílio tributário do contribuinte.</w:t>
      </w:r>
    </w:p>
    <w:p>
      <w:r>
        <w:t>§ 2º O disposto no § 1º aplica-se aos trabalhos de auditoria não iniciados ou não concluídos até a publicação desta Portaria.</w:t>
      </w:r>
    </w:p>
    <w:p>
      <w:r>
        <w:t>§ 3º Outras atividades não enumeradas no caput e as atividades de execução e operacionalização das decisões proferidas pela equipe serão executadas por Delegacia da Receita Federal do Brasil, Delegacia Especial da Receita Federal do Brasil ou equipe regional especializada que tenha jurisdição administrativa sobre o domicílio tributário do contribuinte.</w:t>
      </w:r>
    </w:p>
    <w:p>
      <w:r>
        <w:t>Art. 3º Esta Portaria ficará tacitamente revogada após a conclusão dos trabalhos atribuídos à equipe.</w:t>
      </w:r>
    </w:p>
    <w:p>
      <w:r>
        <w:t>Art. 4º Esta Portaria entra em vigor na data de sua publicação no Diário Oficial da União.</w:t>
      </w:r>
    </w:p>
    <w:p>
      <w:r>
        <w:t>ERITON LIMA DE OLIVEIRA</w:t>
      </w:r>
    </w:p>
    <w:p>
      <w:pPr>
        <w:pStyle w:val="Heading2"/>
      </w:pPr>
      <w:r>
        <w:t>PORTARIA CONJUNTA SRRF09/PF-PR/PRF-PR Nº 1.176, DE 30 DE JULHO DE 2026</w:t>
      </w:r>
    </w:p>
    <w:p>
      <w:pPr>
        <w:pStyle w:val="ListBullet"/>
      </w:pPr>
      <w:r>
        <w:t>Ementa: Aprova o Regulamento de Utilização do Acesso de Serviço da Ponte Internacional da Amizade.</w:t>
      </w:r>
    </w:p>
    <w:p>
      <w:r>
        <w:t>Categoria: Ministério da Fazenda/Secretaria Especial da Receita Federal do Brasil/Secretaria-Adjunta/Superintendência Regional da Receita Federal do Brasil 9ª Região Fiscal</w:t>
      </w:r>
    </w:p>
    <w:p>
      <w:r>
        <w:t>Página: 24</w:t>
      </w:r>
    </w:p>
    <w:p/>
    <w:p>
      <w:r>
        <w:t>PORTARIA CONJUNTA SRRF09/PF-PR/PRF-PR Nº 1.176, DE 30 DE JULHO DE 2026</w:t>
      </w:r>
    </w:p>
    <w:p>
      <w:r>
        <w:t>Aprova o Regulamento de Utilização do Acesso de Serviço da Ponte Internacional da Amizade.</w:t>
      </w:r>
    </w:p>
    <w:p>
      <w:r>
        <w:t>O SUPERINTENDENTE SUBSTITUTO DA RECEITA FEDERAL DO BRASIL DA 9ª REGIÃO FISCAL, O SUPERINTENDENTE REGIONAL DA POLÍCIA FEDERAL NO PARANÁ E O SUPERINTENDENTE DA POLÍCIA RODOVIÁRIA FEDERAL NO PARANÁ, no uso das atribuições que lhes conferem, respectivamente, o art. 364, do Regimento Interno da Secretaria Especial da Receita Federal do Brasil, aprovado pela Portaria ME nº 284, de 27 de julho de 2020, art. 50 do Regimento Interno da Polícia Federal, aprovado pela Portaria nº 155, de 27 de setembro de 2018, e do Regimento Interno da Polícia Rodoviária Federal, aprovado pela Portaria nº 219, de 27 de fevereiro de 2018, resolvem:</w:t>
      </w:r>
    </w:p>
    <w:p>
      <w:r>
        <w:t>Art. 1º Fica aprovado o Regulamento de Utilização do Acesso de Serviço da Ponte Internacional da Amizade, na forma do Anexo Único desta Portaria Conjunta.</w:t>
      </w:r>
    </w:p>
    <w:p>
      <w:r>
        <w:t>Art. 2º Esta Portaria entra em vigor na data de sua publicação no Diário Oficial da União</w:t>
      </w:r>
    </w:p>
    <w:p>
      <w:r>
        <w:t>MÁRCIO LUIZ ZAMIAN</w:t>
      </w:r>
    </w:p>
    <w:p>
      <w:r>
        <w:t>Superintendente da Receita Federal do Brasil da 9ª Região FiscalSubstituto</w:t>
      </w:r>
    </w:p>
    <w:p>
      <w:r>
        <w:t>RIVALDO VENÂNCIO</w:t>
      </w:r>
    </w:p>
    <w:p>
      <w:r>
        <w:t>Superintendente Regional da Polícia Federal no Paraná</w:t>
      </w:r>
    </w:p>
    <w:p>
      <w:r>
        <w:t>FERNANDO CÉSAR OLIVEIRA</w:t>
      </w:r>
    </w:p>
    <w:p>
      <w:r>
        <w:t>Superintendente Regional da Polícia Rodoviária Federal no Paraná</w:t>
      </w:r>
    </w:p>
    <w:p>
      <w:r>
        <w:t>ANEXO ÚNICOREGULAMENTO DE UTILIZAÇÃO DO ACESSO DE SERVIÇO DA PONTE INTERNACIONAL DA AMIZADE</w:t>
      </w:r>
    </w:p>
    <w:p>
      <w:r>
        <w:t>Art. 1º Este regulamento estabelece critérios para a utilização do acesso de serviço do complexo de controle fronteiriço da Ponte Internacional da Amizade - PIA, com o objetivo de preservar a segurança institucional, a fluidez operacional, o controle de acesso e o adequado funcionamento das atividades desenvolvidas no local.</w:t>
      </w:r>
    </w:p>
    <w:p>
      <w:r>
        <w:t>Parágrafo único. A utilização do acesso de serviço constitui medida excepcional de controle de acesso, não se confundindo com via ordinária de passagem, conveniência pessoal, atalho de deslocamento ou alternativa ao fluxo migratório, aduaneiro ou viário regular.</w:t>
      </w:r>
    </w:p>
    <w:p>
      <w:r>
        <w:t>Art. 2º A utilização do acesso de serviço será admitida exclusivamente nas hipóteses previstas neste regulamento ou mediante autorização específica das autoridades competentes.</w:t>
      </w:r>
    </w:p>
    <w:p>
      <w:r>
        <w:t>§ 1º Poderão ser autorizados a utilizar o acesso de serviço:</w:t>
      </w:r>
    </w:p>
    <w:p>
      <w:r>
        <w:t>I - servidores públicos e militares em exercício nos órgãos instalados no complexo da PIA;</w:t>
      </w:r>
    </w:p>
    <w:p>
      <w:r>
        <w:t>II - empregados terceirizados, estagiários e colaboradores que atuem regularmente no complexo, durante o horário de serviço;</w:t>
      </w:r>
    </w:p>
    <w:p>
      <w:r>
        <w:t>III - servidores públicos, militares e equipes institucionais que necessitem acessar o complexo para reuniões, diligências, operações, fiscalizações, inspeções, vistorias ou outras atividades vinculadas ao serviço público;</w:t>
      </w:r>
    </w:p>
    <w:p>
      <w:r>
        <w:t>IV - veículos oficiais, viaturas, veículos a serviço da Administração Pública ou veículos particulares empregados em atividade institucional;</w:t>
      </w:r>
    </w:p>
    <w:p>
      <w:r>
        <w:t>V - autoridades, delegações oficiais e comitivas institucionais previamente autorizadas;</w:t>
      </w:r>
    </w:p>
    <w:p>
      <w:r>
        <w:t>VI - profissionais da imprensa previamente autorizados pela Alfândega da Receita Federal do Brasil em Foz do Iguaçu;</w:t>
      </w:r>
    </w:p>
    <w:p>
      <w:r>
        <w:t>VII - pacientes submetidos a tratamento de saúde continuado em Foz do Iguaçu/PR, bem como acompanhante indispensável, mediante autorização da Alfândega; e</w:t>
      </w:r>
    </w:p>
    <w:p>
      <w:r>
        <w:t>VIII - outras situações excepcionais de interesse institucional, diplomático, de segurança ou de cooperação entre órgãos públicos, não contempladas nos incisos anteriores, desde que autorizadas pela autoridade competente da Receita Federal do Brasil, da Polícia Federal ou da Polícia Rodoviária Federal, ou por servidor formalmente designado para essa finalidade.</w:t>
      </w:r>
    </w:p>
    <w:p>
      <w:r>
        <w:t>§ 2º A apresentação de identidade funcional ou documento institucional equivalente pelos servidores e militares referidos nos incisos I e III presume que o deslocamento possui finalidade institucional, dispensada a exposição detalhada da atividade desempenhada.</w:t>
      </w:r>
    </w:p>
    <w:p>
      <w:r>
        <w:t>Art. 3º O controle operacional do acesso de serviço será realizado pela equipe designada pela Alfândega da Receita Federal do Brasil em Foz do Iguaçu.</w:t>
      </w:r>
    </w:p>
    <w:p>
      <w:r>
        <w:t>§ 1º O controle consistirá na conferência da identificação funcional, credencial ou autorização previamente comunicada, conforme a hipótese de acesso prevista no art. 2º.</w:t>
      </w:r>
    </w:p>
    <w:p>
      <w:r>
        <w:t>§ 2º Os órgãos responsáveis pelas autorizações encaminharão previamente à equipe responsável pelo controle do acesso de serviço as informações necessárias à identificação das pessoas, veículos ou equipes autorizadas.</w:t>
      </w:r>
    </w:p>
    <w:p>
      <w:r>
        <w:t>§ 3º As solicitações de autorização previstas nos incisos V, VI e VII do art. 2º observarão os procedimentos administrativos definidos pela Alfândega da Receita Federal do Brasil em Foz do Iguaçu.</w:t>
      </w:r>
    </w:p>
    <w:p>
      <w:r>
        <w:t>§ 4º O controle deverá ser realizado com urbanidade, discrição e proporcionalidade, preservando a atividade institucional desenvolvida pelos órgãos públicos atuantes no complexo.</w:t>
      </w:r>
    </w:p>
    <w:p>
      <w:r>
        <w:t>Art. 4º Cada órgão responderá pelas autorizações concedidas no âmbito de suas competências, cabendo-lhe comunicar previamente à equipe responsável pelo controle do acesso de serviço as informações necessárias ao ingresso autorizado.</w:t>
      </w:r>
    </w:p>
    <w:p>
      <w:r>
        <w:t>Art. 5º Constatados indícios de utilização indevida do acesso de serviço, prestação de informações incompatíveis com a finalidade do acesso ou utilização da autorização para finalidade diversa daquela que justificou sua concessão, a equipe responsável comunicará imediatamente o fato à autoridade competente para adoção das providências cabíveis.</w:t>
      </w:r>
    </w:p>
    <w:p>
      <w:r>
        <w:t>Art. 6º As autorizações concedidas poderão ser revogadas a qualquer tempo quando deixarem de subsistir os pressupostos que justificaram sua concessão ou houver descumprimento deste Regulamento.</w:t>
      </w:r>
    </w:p>
    <w:p>
      <w:r>
        <w:t>Art. 7º A utilização do acesso de serviço, quando exigir a transposição de passeio, calçada ou trecho em sentido contrário ao fluxo regular da via para ingresso na Rodovia BR-277, será objeto de sinalização e de regulamentação de trânsito específicas, a serem implementadas pela Receita Federal em conjunto com a Polícia Rodoviária Federal e concessionária da via/Departamento Nacional de Infraestrutura de Transportes (DNIT), na qualidade de órgão executivo de trânsito competente, de modo a formalizar o trajeto autorizado para os fins deste Regulamento.</w:t>
      </w:r>
    </w:p>
    <w:p>
      <w:r>
        <w:t>§ 1º A utilização do acesso de serviço observará o trajeto operacional definido neste Regulamento e as normas de trânsito aplicáveis.</w:t>
      </w:r>
    </w:p>
    <w:p>
      <w:r>
        <w:t>§ 2º A utilização do acesso de serviço não afasta a competência dos órgãos de trânsito para fiscalização e adoção das medidas cabíveis na forma da legislação vigente.</w:t>
      </w:r>
    </w:p>
    <w:p>
      <w:r>
        <w:t>§ 3º Até a efetiva implantação da sinalização e da regulamentação de trânsito de que trata o caput, a utilização do acesso de serviço por usuário regularmente autorizado deverá ocorrer de forma segura e sob orientação da equipe de controle ou dos órgãos competentes presentes no local.</w:t>
      </w:r>
    </w:p>
    <w:p>
      <w:r>
        <w:t>Art. 8º Os casos omissos e as situações não previstas neste regulamento serão resolvidos, no âmbito de suas respectivas competências, pela Alfândega da Receita Federal do Brasil em Foz do Iguaçu, pela Polícia Federal e pela Polícia Rodoviária Federal.</w:t>
      </w:r>
    </w:p>
    <w:p>
      <w:pPr>
        <w:pStyle w:val="Heading2"/>
      </w:pPr>
      <w:r>
        <w:t>PORTARIA ALF/IGI Nº 60, DE 28 DE AGOSTO DE 2026</w:t>
      </w:r>
    </w:p>
    <w:p>
      <w:pPr>
        <w:pStyle w:val="ListBullet"/>
      </w:pPr>
      <w:r>
        <w:t>Ementa: Dispõe sobre o credenciamento e a autorização de pessoas para ingresso em recinto alfandegado portuário sob jurisdição da ALF/IGI</w:t>
      </w:r>
    </w:p>
    <w:p>
      <w:r>
        <w:t>Categoria: Ministério da Fazenda/Secretaria Especial da Receita Federal do Brasil/Secretaria-Adjunta/Superintendência Regional da Receita Federal do Brasil 7ª Região Fiscal/Alfândega da Receita Federal do Brasil no Porto de Itaguaí</w:t>
      </w:r>
    </w:p>
    <w:p>
      <w:r>
        <w:t>Página: 22</w:t>
      </w:r>
    </w:p>
    <w:p/>
    <w:p>
      <w:r>
        <w:t>PORTARIA ALF/IGI Nº 60, DE 28 DE AGOSTO DE 2026</w:t>
      </w:r>
    </w:p>
    <w:p>
      <w:r>
        <w:t>Dispõe sobre o credenciamento e a autorização de pessoas para ingresso em recinto alfandegado portuário sob jurisdição da ALF/IGI</w:t>
      </w:r>
    </w:p>
    <w:p>
      <w:r>
        <w:t>O DELEGADO DA ALFÂNDEGA DA RECEITA FEDERAL DO BRASIL NO PORTO DE ITAGUAÍ/RJ, no uso das atribuições que lhe confere o inciso III do art. 360 e o artigo 364, inciso I, do Regimento Interno da Secretaria Especial da Receita Federal do Brasil (RFB), aprovado pela Portaria MF nº 284, de 27 de julho de 2020, e tendo em vista o disposto no parágrafo 3º, do artigo 2º, da Portaria Coana nº 185, de 19 de março de 2026, resolve:</w:t>
      </w:r>
    </w:p>
    <w:p>
      <w:r>
        <w:t>Art. 1º Esta Portaria dispõe, no âmbito dos recintos alfandegados sob jurisdição da Alfândega da Receita Federal do Brasil no Porto de Itaguaí, sobre a exigência de curso básico de conhecimentos aduaneiros para o credenciamento e a autorização de pessoas para ingresso em recinto alfandegado, nos termos da Portaria COANA nº 185, de 19 de março de 2026.</w:t>
      </w:r>
    </w:p>
    <w:p>
      <w:r>
        <w:t>Art. 2º O curso elaborado pela Receita Federal do Brasil, destinado à utilização pelos recintos alfandegados, encontra-se disponível para consulta pelo público em geral a partir de download no endereço eletrônico a seguir indicado: https://drive.google.com/drive/folders/1Hze5I7bXo3D79Mdi1esEfhxzpG_Pow4L,</w:t>
      </w:r>
    </w:p>
    <w:p>
      <w:r>
        <w:t>Art. 3º O administrador do recinto alfandegado deve disponibilizar o curso citado no art 2º em suas dependências ou de forma remota às pessoas que nelas pretendam ingressar e certificar sua conclusão, podendo essa certificação ser aceita pelos demais recintos alfandegados.</w:t>
      </w:r>
    </w:p>
    <w:p>
      <w:r>
        <w:t>§ Único Para fins do disposto no art. 3º, os recintos alfandegados poderão manter bancos de dados compartilhados com as informações das pessoas já certificadas, no qual deverá obrigatoriamente constar a data da certificação e o nome do recinto alfandegado por ela responsável.</w:t>
      </w:r>
    </w:p>
    <w:p>
      <w:r>
        <w:t>Art. 4º Ficam dispensados da apresentação de comprovante de conclusão de curso básico de conhecimentos aduaneiros, disposto no artigo 2º, da Portaria Coana nº 185, de 19 de março de 2026, as seguintes categorias:</w:t>
      </w:r>
    </w:p>
    <w:p>
      <w:r>
        <w:t>I - despachantes aduaneiros e ajudantes de despachantes aduaneiros, em razão do conhecimento técnico inerente ao exercício da atividade profissional;</w:t>
      </w:r>
    </w:p>
    <w:p>
      <w:r>
        <w:t>II - servidores da Secretaria Especial da Receita Federal do Brasil (RFB) em razão das atribuições institucionais exercidas no âmbito do controle aduaneiro;</w:t>
      </w:r>
    </w:p>
    <w:p>
      <w:r>
        <w:t>III - servidores públicos federais, estaduais e municipais quando no exercício de suas atribuições legais;</w:t>
      </w:r>
    </w:p>
    <w:p>
      <w:r>
        <w:t>IV- tripulantes e passageiros no embarque, desembarque e trânsito;</w:t>
      </w:r>
    </w:p>
    <w:p>
      <w:r>
        <w:t>V - funcionários e colaboradores internos dos recintos alfandegados portuários que comprovem atuação contínua no respectivo recinto por período igual ou superior a 3 (três) anos;</w:t>
      </w:r>
    </w:p>
    <w:p>
      <w:r>
        <w:t>VI - titulares de credenciamento temporário em função da natureza precária e do curto prazo de permanência no recinto;</w:t>
      </w:r>
    </w:p>
    <w:p>
      <w:r>
        <w:t>VII - prestadores de serviços de limpeza, alimentação, copeiragem ou atividades similares, desde que não desempenhem funções relacionadas às operações aduaneiras do recinto.</w:t>
      </w:r>
    </w:p>
    <w:p>
      <w:r>
        <w:t>Art. 5º Demais casos, não abrangidos pelas hipóteses de dispensa previstas neste ato, deverão atender integralmente ao disposto na Portaria Coana nº 185/2026 a partir de 1º de janeiro de 2027.</w:t>
      </w:r>
    </w:p>
    <w:p>
      <w:r>
        <w:t>Art. 6º Fica dispensada, até ulterior implementação pela Coordenação-Geral de Administração Aduaneira (Coana), a exigência de aprovação em prova de verificação de aprendizagem.</w:t>
      </w:r>
    </w:p>
    <w:p>
      <w:r>
        <w:t>Art. 7º Esta Portaria entra em vigor na data de sua publicação no Diário Oficial da União.</w:t>
      </w:r>
    </w:p>
    <w:p>
      <w:r>
        <w:t>Art. 8º Fica revogada a Portaria ALF/IGI nº 56, de 18 de junho de 2026.</w:t>
      </w:r>
    </w:p>
    <w:p>
      <w:r>
        <w:t>JOSÉ ANTONIO DA VEIGA CALADO FILHO</w:t>
      </w:r>
    </w:p>
    <w:p>
      <w:pPr>
        <w:pStyle w:val="Heading2"/>
      </w:pPr>
      <w:r>
        <w:t>SOLUÇÃO DE CONSULTA Nº 164, DE 28 DE AGOSTO DE 2026</w:t>
      </w:r>
    </w:p>
    <w:p>
      <w:r>
        <w:t>Categoria: Ministério da Fazenda/Secretaria Especial da Receita Federal do Brasil/Secretaria-Adjunta/Subsecretaria de Tributação e Contencioso/Coordenação-Geral de Tributação</w:t>
      </w:r>
    </w:p>
    <w:p>
      <w:r>
        <w:t>Página: 19</w:t>
      </w:r>
    </w:p>
    <w:p/>
    <w:p>
      <w:r>
        <w:t>SOLUÇÃO DE CONSULTA Nº 164, DE 28 DE AGOSTO DE 2026</w:t>
      </w:r>
    </w:p>
    <w:p>
      <w:r>
        <w:t>Assunto: Imposto sobre a Renda de Pessoa Jurídica - IRPJ</w:t>
      </w:r>
    </w:p>
    <w:p>
      <w:r>
        <w:t>LEI Nº 14.871, DE 28 DE MAIO DE 2024. DEPRECIAÇÃO ACELERADA. PERÍODO DE APURAÇÃO INFERIOR A DOZE MESES.</w:t>
      </w:r>
    </w:p>
    <w:p>
      <w:r>
        <w:t>Para fins de apuração do Imposto sobre a Renda das Pessoas Jurídicas (IRPJ), no regime de depreciação acelerada de que trata a Lei nº 14.871, de 28 de maio de 2024, o percentual de até 50% (cinquenta por cento) do valor do bem, previsto para o ano em que este for instalado, colocado em operação ou em condições de produzir, corresponde ao montante máximo dedutível no respectivo exercício, independentemente do mês de entrada em operação. Não se aplica a essa modalidade de depreciação o critério de proporcionalização mensal previsto no art. 319 do Decreto nº 9.580, de 22 de novembro de 2018, o qual se destina exclusivamente à depreciação ordinária.</w:t>
      </w:r>
    </w:p>
    <w:p>
      <w:r>
        <w:t>Dispositivos Legais: Lei nº 14.871, de 2024, arts. 1º e 2º; Decreto nº 9.580, de 2018, arts. 317, 319 e 324; Decreto nº 12.175, de 2024; Portaria Interministerial MDIC/MF nº 88, de 2024; Portaria GM-MDIC nº 439, de 2024.</w:t>
      </w:r>
    </w:p>
    <w:p>
      <w:r>
        <w:t>Assunto: Contribuição Social sobre o Lucro Líquido - CSLL</w:t>
      </w:r>
    </w:p>
    <w:p>
      <w:r>
        <w:t>LEI Nº 14.871, DE 28 DE MAIO DE 2024. DEPRECIAÇÃO ACELERADA. PERÍODO DE APURAÇÃO INFERIOR A DOZE MESES.</w:t>
      </w:r>
    </w:p>
    <w:p>
      <w:r>
        <w:t>Para fins de apuração da Contribuição Social sobre o Lucro Líquido (CSLL), no regime de depreciação acelerada de que trata a Lei nº 14.871, de 28 de maio de 2024, o percentual de até 50% (cinquenta por cento) do valor do bem, previsto para o ano em que este for instalado, colocado em operação ou em condições de produzir, corresponde ao montante máximo dedutível no respectivo exercício, independentemente do mês de entrada em operação. Não se aplica a essa modalidade de depreciação o critério de proporcionalizarão mensal previsto no art. 319 do Decreto nº 9.580, de 22 de novembro de 2018, o qual se destina exclusivamente à depreciação ordinária.</w:t>
      </w:r>
    </w:p>
    <w:p>
      <w:r>
        <w:t>Dispositivos Legais: Lei nº 14.871, de 2024, arts. 1º e 2º; Decreto nº 9.580, de 2018, arts. 317, 319 e 324; Decreto nº 12.175, de 2024; Portaria Interministerial MDIC/MF nº 88, de 2024; Portaria GM-MDIC nº 439, de 2024.</w:t>
      </w:r>
    </w:p>
    <w:p>
      <w:r>
        <w:t>RODRIGO AUGUSTO VERLY DE OLIVEIRA</w:t>
      </w:r>
    </w:p>
    <w:p>
      <w:r>
        <w:t>Coordenador-Geral</w:t>
      </w:r>
    </w:p>
    <w:p>
      <w:pPr>
        <w:pStyle w:val="Heading2"/>
      </w:pPr>
      <w:r>
        <w:t>Portaria SPA/MF Nº 2.596, de 28 de agosto de 2026</w:t>
      </w:r>
    </w:p>
    <w:p>
      <w:pPr>
        <w:pStyle w:val="ListBullet"/>
      </w:pPr>
      <w:r>
        <w:t>Ementa: Regulamenta o disposto nos arts. 68 e 69 da Lei nº 15.421, de 1º de junho de 2026, para estabelecer procedimento célere e exame prioritário para autorização de apostas de quota fixa relacionadas aos eventos oficiais da Copa do Mundo Feminina de 2027 no território nacional, realizadas pela Fédération Internationale de Football Association - FIFA, por parceiros comerciais da FIFA ou por contratadas da FIFA, e para disciplinar as atividades de patrocínio e a divulgação de marcas de empresas de jogos e apostas, na qualidade de patrocinadores dos eventos oficiais da FIFA.</w:t>
      </w:r>
    </w:p>
    <w:p>
      <w:r>
        <w:t>Categoria: Ministério da Fazenda/Secretaria de Prêmios e Apostas</w:t>
      </w:r>
    </w:p>
    <w:p>
      <w:r>
        <w:t>Página: 2</w:t>
      </w:r>
    </w:p>
    <w:p/>
    <w:p>
      <w:r>
        <w:t>Portaria SPA/MF Nº 2.596, de 28 de agosto de 2026</w:t>
      </w:r>
    </w:p>
    <w:p>
      <w:r>
        <w:t>Regulamenta o disposto nos arts. 68 e 69 da Lei nº 15.421, de 1º de junho de 2026, para estabelecer procedimento célere e exame prioritário para autorização de apostas de quota fixa relacionadas aos eventos oficiais da Copa do Mundo Feminina de 2027 no território nacional, realizadas pela Fédération Internationale de Football Association - FIFA, por parceiros comerciais da FIFA ou por contratadas da FIFA, e para disciplinar as atividades de patrocínio e a divulgação de marcas de empresas de jogos e apostas, na qualidade de patrocinadores dos eventos oficiais da FIFA.</w:t>
      </w:r>
    </w:p>
    <w:p>
      <w:r>
        <w:t>A SECRETÁRIA DE PRÊMIOS E APOSTAS DO MINISTÉRIO DA FAZENDA, no uso das atribuições que lhe foram conferidas pelo art. 55, caput, inciso I, alínea "d", do Anexo I do Decreto nº 11.907, de 30 de janeiro de 2024, e tendo em vista o disposto nos arts. 68 e 69 da Lei nº 15.421, de 1º de junho de 2026, e na Lei nº 14.790, de 29 de dezembro de 2023, resolve:</w:t>
      </w:r>
    </w:p>
    <w:p>
      <w:r>
        <w:t>Disposições preliminares</w:t>
      </w:r>
    </w:p>
    <w:p>
      <w:r>
        <w:t>Art. 1º Esta Portaria regulamenta o disposto nos arts. 68 e 69 da Lei nº 15.421, de 1º de junho de 2026, para estabelecer procedimento célere e exame prioritário para autorização de apostas de quota fixa relacionadas aos eventos oficiais da Copa do Mundo Feminina de 2027 no território nacional, realizadas pela Fédération Internationale de Football Association - FIFA, por parceiros comerciais da FIFA ou por contratadas da FIFA, e para disciplinar as atividades de patrocínio e a divulgação de marcas de empresas de jogos e apostas, na qualidade de patrocinadores dos eventos oficiais da FIFA.</w:t>
      </w:r>
    </w:p>
    <w:p>
      <w:r>
        <w:t>Art. 2º Para os fins desta Portaria, considera-se:</w:t>
      </w:r>
    </w:p>
    <w:p>
      <w:r>
        <w:t>I - Fédération Internationale de Football Association - FIFA: associação suíça de direito privado, entidade mundial que regula o esporte de futebol, incluídas quaisquer entidades direta ou indiretamente por ela controladas, inclusive subsidiárias estabelecidas no País ou no exterior, existentes ou que venham a ser criadas, independentemente dos respectivos objetos sociais;</w:t>
      </w:r>
    </w:p>
    <w:p>
      <w:r>
        <w:t>II - evento: Copa do Mundo Feminina da FIFA 2027, a ser realizada na República Federativa do Brasil em 2027, incluídas partidas, cerimônias de abertura e encerramento, e premiação;</w:t>
      </w:r>
    </w:p>
    <w:p>
      <w:r>
        <w:t>III - parceiro comercial da FIFA: pessoa jurídica licenciada ou autorizada com base em relação contratual, à qual tenha sido concedidos, total ou parcialmente, direitos em relação à FIFA ou aos eventos oficiais da Copa do Mundo Feminina da FIFA 2027, incluídos, exemplificativamente, direitos de mídia e de marketing, de patrocínio, de licenciamento ou comerciais de qualquer natureza;</w:t>
      </w:r>
    </w:p>
    <w:p>
      <w:r>
        <w:t>IV - contratada da FIFA: pessoa jurídica, incluídos seus eventuais subcontratados, que tenha celebrado relação contratual com a FIFA, em conexão com os eventos oficiais da Copa do Mundo Feminina da FIFA 2027, incluídos, exemplificativamente, fornecedores da FIFA de serviços de hospitalidade, de prestação de serviços ou de fornecimento de bens, ou outros licenciados ou autorizados pela FIFA;</w:t>
      </w:r>
    </w:p>
    <w:p>
      <w:r>
        <w:t>V - patrocínio: ação de comunicação que se realiza por meio da aquisição do direito de associação da marca ou de produtos e serviços do patrocinador ao evento Copa do Mundo Feminina da FIFA 2027, mediante a celebração de contrato oneroso;</w:t>
      </w:r>
    </w:p>
    <w:p>
      <w:r>
        <w:t>VI - locais oficiais: locais oficialmente definidos pela FIFA relacionados aos eventos oficiais ou qualquer local onde o acesso seja restrito aos portadores de credenciais emitidas pela FIFA ou de ingresso, incluídos, exemplificativamente, estádios, centros de treinamento, centros de mídia, centros de credenciamento, centros internacionais de transmissão, locais de sorteio da competição, locais de workshop das seleções, centro de bases das associações estrangeiras membros da FIFA, centro de bases da associação anfitriã, centro de base dos árbitros, localizados ou não nas cidades-sede dos eventos oficiais; e</w:t>
      </w:r>
    </w:p>
    <w:p>
      <w:r>
        <w:t>VII - FIFA Fan Festival: área de entretenimento para torcedores, com marca oficial, estabelecida em qualquer cidade-sede da competição ou em outros locais determinados pela FIFA, que ofereça aos visitantes a oportunidade de assistir às partidas.</w:t>
      </w:r>
    </w:p>
    <w:p>
      <w:r>
        <w:t>Do procedimento de autorização célere e exame prioritário</w:t>
      </w:r>
    </w:p>
    <w:p>
      <w:r>
        <w:t>Art. 3º Os requerimentos de autorização de que trata esta Portaria submetem-se às mesmas condições, critérios e requisitos materiais previstos na Lei nº 14.790, de 29 de dezembro de 2023, na Portaria SPA/MF nº 827, de 21 de maio de 2024, e em normas correlatas, ressalvadas as especificidades procedimentais e de proporcionalidade financeira previstas nesta Portaria.</w:t>
      </w:r>
    </w:p>
    <w:p>
      <w:r>
        <w:t>Art. 4º A autorização de que trata o art. 1º terá natureza de ato administrativo discricionário, praticado segundo a conveniência e oportunidade da Secretaria de Prêmios e Apostas do Ministério da Fazenda, à vista do interesse nacional e da proteção dos interesses da coletividade, observadas as seguintes condições:</w:t>
      </w:r>
    </w:p>
    <w:p>
      <w:r>
        <w:t>I - outorga pelo período regular de cinco anos ou pelo período coincidente com a duração do evento;</w:t>
      </w:r>
    </w:p>
    <w:p>
      <w:r>
        <w:t>II - pagamento de outorga proporcional na hipótese de ser concedida pelo período coincidente com a duração do evento, no valor de R$ 1.528.767,12 (um milhão, quinhentos e vinte e oito mil, setecentos e sessenta e sete reais e doze centavos);</w:t>
      </w:r>
    </w:p>
    <w:p>
      <w:r>
        <w:t>III - comprovação de constituição de reserva financeira proporcional na hipótese de ser concedida pelo período coincidente com a duração do evento, no valor de R$ 2.500.000,00 (dois milhões e quinhentos mil reais); e</w:t>
      </w:r>
    </w:p>
    <w:p>
      <w:r>
        <w:t>IV - exploração pela pessoa jurídica autorizada apenas das marcas comerciais que forem objeto do contrato de patrocínio ou de parceria comercial celebrado pela requerente com a FIFA para a realização da Copa do Mundo Feminina da FIFA 2027.</w:t>
      </w:r>
    </w:p>
    <w:p>
      <w:r>
        <w:t>Parágrafo único. O período coincidente com a duração do evento de que tratam os incisos I, II e III do caput corresponde ao período compreendido entre 24 de maio de 2027 a 25 de agosto de 2027.</w:t>
      </w:r>
    </w:p>
    <w:p>
      <w:r>
        <w:t>Art. 5º Somente serão elegíveis à autorização de que trata esta Portaria as pessoas jurídicas nacionais, constituídas segundo a legislação brasileira, com sede e administração no território nacional, que sejam parceiros comerciais da FIFA ou contratadas da FIFA para a realização da Copa do Mundo Feminina da FIFA 2027, e que atenderem a todas as exigências previstas na legislação específica e nas normas regulamentares expedidas pelo Ministério da Fazenda.</w:t>
      </w:r>
    </w:p>
    <w:p>
      <w:r>
        <w:t>§ 1º O agente operador de apostas autorizado a operar no período coincidente com a duração do evento somente poderá ofertar apostas relacionadas aos eventos esportivos da Copa do Mundo Feminina da FIFA 2027, sendo vedada a oferta de apostas em relação a eventos virtuais de jogos on-line ou a eventos reais de temática esportiva distintos do objeto desta Portaria.</w:t>
      </w:r>
    </w:p>
    <w:p>
      <w:r>
        <w:t>§ 2º A aposta ofertada em descumprimento ao disposto no § 1º ensejará a abertura de procedimento administrativo fiscalizador e sancionador, nos termos da Portaria SPA/MF nº 1.225, de 31 de julho de 2024, e da Portaria SPA/MF nº 1.233, de 31 de julho de 2024.</w:t>
      </w:r>
    </w:p>
    <w:p>
      <w:r>
        <w:t>Art. 6º O procedimento célere e o exame prioritário dos requerimentos de autorização de que trata esta Portaria observarão as seguintes regras:</w:t>
      </w:r>
    </w:p>
    <w:p>
      <w:r>
        <w:t>I - o requerimento de autorização para exploração comercial de apostas de quota fixa deverá ser protocolado perante a Secretaria de Prêmios e Apostas até 31 de outubro de 2026, por meio do Sistema de Gestão de Apostas - SIGAP, conforme o modelo constante do Anexo I da Portaria SPA/MF nº 827, de 21 de maio de 2024, e estar acompanhado dos seguintes documentos:</w:t>
      </w:r>
    </w:p>
    <w:p>
      <w:r>
        <w:t>a) documento emitido pela FIFA que ateste a condição de parceiro comercial ou de contratada para a realização da Copa do Mundo Feminina da FIFA 2027, nos termos do art. 3º, caput, incisos III e XVII, da Lei nº 15.421, de 1º de junho de 2026; e</w:t>
      </w:r>
    </w:p>
    <w:p>
      <w:r>
        <w:t>b) documentação exigida pela Lei nº 14.790, de 29 de dezembro de 2023, pela Portaria SPA/MF nº 827, de 21 de maio de 2024, e por normas correlatas, para fins de requerimento da autorização; e</w:t>
      </w:r>
    </w:p>
    <w:p>
      <w:r>
        <w:t>II - a Secretaria de Prêmios e Apostas notificará a pessoa jurídica requerente para realizar o pagamento da outorga ou para comunicar o indeferimento do pleito em até cento e vinte dias, contados da data de protocolo do requerimento de autorização, observadas as hipóteses de suspensão de prazos previstas na regulamentação específica.</w:t>
      </w:r>
    </w:p>
    <w:p>
      <w:r>
        <w:t>§ 1º O exame prioritário de que trata o caput dar-se-á mediante precedência absoluta de tramitação, análise e deliberação dos referidos requerimentos em relação a quaisquer outros processos de autorização em curso no âmbito da Secretaria de Prêmios e Apostas.</w:t>
      </w:r>
    </w:p>
    <w:p>
      <w:r>
        <w:t>§ 2º Em decorrência do regime de urgência instituído pelo art. 68 da Lei nº 15.421, de 1º de junho de 2026, a Secretaria de Prêmios e Apostas poderá suspender os prazos de notificação e de análise dos demais processos de autorização em tramitação na unidade que não estejam abrangidos por esta Portaria.</w:t>
      </w:r>
    </w:p>
    <w:p>
      <w:r>
        <w:t>§ 3º Os requerimentos de autorização que não atenderem ao disposto no inciso I, alínea "a", do caput ou que sejam protocolados após o prazo previsto no inciso I do caput serão arquivados sem análise de mérito pela Secretaria de Prêmios e Apostas.</w:t>
      </w:r>
    </w:p>
    <w:p>
      <w:r>
        <w:t>Art. 7º A autorização concedida nos termos desta Portaria extinguir-se-á nas seguintes hipóteses:</w:t>
      </w:r>
    </w:p>
    <w:p>
      <w:r>
        <w:t>I - decurso dos prazos previstos no art. 4º, caput, inciso I;</w:t>
      </w:r>
    </w:p>
    <w:p>
      <w:r>
        <w:t>II - cassação, em razão da perda superveniente da condição de parceiro comercial da FIFA ou de contratada da FIFA antes do término do evento, independentemente da causa, mediante processo administrativo específico, no qual serão assegurados à pessoa jurídica interessada o contraditório e a ampla defesa; e</w:t>
      </w:r>
    </w:p>
    <w:p>
      <w:r>
        <w:t>III - demais hipóteses previstas no art. 21 da Portaria SPA/MF nº 827, de 21 de maio de 2024, no que couber.</w:t>
      </w:r>
    </w:p>
    <w:p>
      <w:r>
        <w:t>Parágrafo único. Somente serão devolvidos os valores pagos a título de outorga na hipótese de cassação da autorização de que trata o inciso II do caput, e desde que comprovada a ocorrência de caso fortuito ou de força maior.</w:t>
      </w:r>
    </w:p>
    <w:p>
      <w:r>
        <w:t>Art. 8º Findo o prazo previsto no parágrafo único do art. 4º, a autorização concedida pelo período coincidente com a duração do evento extinguir-se-á automaticamente, sem possibilidade de renovação, ficando o agente operador sujeito às demais normas regulamentares expedidas pela Secretaria de Prêmios e Apostas para encerramento de suas atividades, prestação de contas e observância dos direitos dos apostadores, além do cumprimento das seguintes obrigações:</w:t>
      </w:r>
    </w:p>
    <w:p>
      <w:r>
        <w:t>I - apresentar comprovante de suspensão cadastral de novos usuários na plataforma de apostas;</w:t>
      </w:r>
    </w:p>
    <w:p>
      <w:r>
        <w:t>II - comunicar à Secretaria de Prêmios e Apostas, antes do efetivo encerramento das atividades, o plano de descontinuidade das operações realizadas em razão da Copa do Mundo Feminina da FIFA 2027, visando à preservação dos direitos dos apostadores; e</w:t>
      </w:r>
    </w:p>
    <w:p>
      <w:r>
        <w:t>III - informar como será realizada a devolução de recursos financeiros de apostadores, detalhando a forma de comunicação com os respectivos apostadores.</w:t>
      </w:r>
    </w:p>
    <w:p>
      <w:r>
        <w:t>Do patrocínio realizado pela FIFA, por parceiros comerciais da FIFA ou por contratadas da FIFA</w:t>
      </w:r>
    </w:p>
    <w:p>
      <w:r>
        <w:t>Art. 9º Nos termos do art. 69 da Lei nº 15.421, de 1º de junho de 2026, ficam permitidas, no território nacional, independentemente da autorização para exploração de apostas de quota fixa de que trata esta Portaria, as atividades de patrocínio e a divulgação de marcas de empresas de jogos e apostas, na qualidade de patrocinadores dos eventos oficiais da Copa do Mundo Feminina da FIFA 2027, realizadas pela FIFA, por parceiros comerciais da FIFA ou por contratadas da FIFA, por qualquer meio, físico, digital ou virtual, desde que não sejam destinadas à oferta de apostas no território nacional.</w:t>
      </w:r>
    </w:p>
    <w:p>
      <w:r>
        <w:t>Parágrafo único. As atividades de que trata o caput deverão limitar-se à exposição de marcas e às ações de patrocínio, nos termos dos arts. 45 e 56 da Lei nº 15.421, de 1º de junho de 2026, permanecendo vedadas, no território nacional, a realização das seguintes atividades por pessoas jurídicas ou naturais que não possuam a prévia autorização exigida pelo art. 4º da Lei nº 14.790, de 29 de dezembro de 2023:</w:t>
      </w:r>
    </w:p>
    <w:p>
      <w:r>
        <w:t>I - a exploração, a oferta, a intermediação ou a facilitação de acesso a apostas; e</w:t>
      </w:r>
    </w:p>
    <w:p>
      <w:r>
        <w:t>II - a contratação da veiculação ou de inserção de publicidade de marcas de empresas de jogos e apostas.</w:t>
      </w:r>
    </w:p>
    <w:p>
      <w:r>
        <w:t>Art. 10. Para os fins desta Portaria, não se considera caracterizada publicidade e marketing de apostas, sendo admitidas no território nacional:</w:t>
      </w:r>
    </w:p>
    <w:p>
      <w:r>
        <w:t>I - as ações de comunicação e de marketing associadas à divulgação do evento, por meio físico, digital ou virtual, realizadas em área de restrição comercial ao redor ou dentro dos locais de competição e dos estádios, do FIFA Fan Festival e dos locais oficiais, pela FIFA, por parceiros comerciais da FIFA ou por contratadas da FIFA, na qualidade de patrocinadores dos eventos oficiais da Copa do Mundo Feminina da FIFA 2027; e</w:t>
      </w:r>
    </w:p>
    <w:p>
      <w:r>
        <w:t>II - as ações de comunicação e de marketing associadas à divulgação do evento, por meio físico, digital, virtual ou por radiodifusão, que mencione ou destaque o nome, a marca e a identidade visual dos patrocinadores dos eventos oficiais da Copa do Mundo Feminina da FIFA 2027, nesta qualidade.</w:t>
      </w:r>
    </w:p>
    <w:p>
      <w:r>
        <w:t>Art. 11. Considera-se caracterizada a oferta de apostas no território nacional quando houver, isolada ou cumulativamente:</w:t>
      </w:r>
    </w:p>
    <w:p>
      <w:r>
        <w:t>I - disponibilização de plataforma que permita cadastro, depósito ou realização de apostas por usuários localizados no território nacional;</w:t>
      </w:r>
    </w:p>
    <w:p>
      <w:r>
        <w:t>II - contratação de veiculação ou de inserção de publicidade de marca de empresa de apostas no território nacional, incluída a disponibilização de links, de códigos de leitura óptica - QR Code ou de qualquer outro mecanismo de direcionamento de usuários para plataforma de apostas; e</w:t>
      </w:r>
    </w:p>
    <w:p>
      <w:r>
        <w:t>III - uso de linguagem que indique intenção de captar apostadores localizados no território nacional.</w:t>
      </w:r>
    </w:p>
    <w:p>
      <w:r>
        <w:t>Art. 12. A FIFA deverá exigir, por meio de instrumentos contratuais, que seus parceiros comerciais ou suas contratadas que não possuam a autorização prevista na Lei nº 14.790, de 29 de dezembro de 2023, adotem medidas razoáveis e eficazes para assegurar que cidadãos brasileiros e estrangeiros no território nacional não tenham acesso às aplicações de internet que estejam sujeitas ao disposto no art. 69 da Lei nº 15.421, de 1º de junho de 2026, e que ofereçam jogos e apostas.</w:t>
      </w:r>
    </w:p>
    <w:p>
      <w:r>
        <w:t>Parágrafo único. As medidas de que trata o caput deverão incluir, no mínimo:</w:t>
      </w:r>
    </w:p>
    <w:p>
      <w:r>
        <w:t>I - realização de bloqueio, por meio de ferramenta de geolocalização - geoblocking, do acesso de usuários localizados no território nacional;</w:t>
      </w:r>
    </w:p>
    <w:p>
      <w:r>
        <w:t>II - restrição ao cadastro e à criação de contas por usuários localizados no território nacional;</w:t>
      </w:r>
    </w:p>
    <w:p>
      <w:r>
        <w:t>III - bloqueio de transações financeiras e de pagamentos originados do território nacional; e</w:t>
      </w:r>
    </w:p>
    <w:p>
      <w:r>
        <w:t>IV - implementação de mecanismos de detecção e de prevenção de uso de rede privada virtual ou de tecnologias similares de mascaramento de protocolo de internet - IP, para burlar a proibição de acesso.</w:t>
      </w:r>
    </w:p>
    <w:p>
      <w:r>
        <w:t>Parágrafo único. A FIFA deverá apresentar documentação, de acesso restrito à Secretaria de Prêmios e Apostas, que comprove a inclusão, nos contratos celebrados com seus parceiros comerciais e com suas contratadas, das obrigações previstas neste artigo.</w:t>
      </w:r>
    </w:p>
    <w:p>
      <w:r>
        <w:t>Art. 13. O descumprimento das vedações e das obrigações previstas nos arts. 9º, 10, 11 e 12 poderá ensejar a adoção das seguintes providências pela Secretaria de Prêmios e Apostas:</w:t>
      </w:r>
    </w:p>
    <w:p>
      <w:r>
        <w:t>I - determinação de exclusão das divulgações e das campanhas publicitárias irregulares, e de bloqueio dos sítios eletrônicos ou de exclusão dos aplicativos que ofertem a loteria de apostas de quota fixa sem a prévia autorização exigida pela Lei nº 14.790, de 29 de dezembro de 2023;</w:t>
      </w:r>
    </w:p>
    <w:p>
      <w:r>
        <w:t>II - recomendação à FIFA para adoção de medidas sancionatórias contratuais em face de seus parceiros comerciais ou de suas contratadas; e</w:t>
      </w:r>
    </w:p>
    <w:p>
      <w:r>
        <w:t>III - imposição, aos patrocinadores da FIFA e aos parceiros comerciais da FIFA, das penalidades administrativas previstas na legislação específica.</w:t>
      </w:r>
    </w:p>
    <w:p>
      <w:r>
        <w:t>Disposições finais</w:t>
      </w:r>
    </w:p>
    <w:p>
      <w:r>
        <w:t>Art. 14. As pessoas jurídicas que obtiverem autorização para exploração de apostas de quota fixa nos termos desta Portaria sujeitar-se-ão às disposições da Lei nº 13.756, de 12 de dezembro de 2018, da Lei nº 14.790, de 29 de dezembro de 2023, e da legislação correlata, bem como às normas regulamentares expedidas pela Secretaria de Prêmios e Apostas, especialmente quanto:</w:t>
      </w:r>
    </w:p>
    <w:p>
      <w:r>
        <w:t>I- ao jogo responsável, incluídas a prevenção e a mitigação de malefícios individuais ou coletivos decorrentes dos jogos e apostas, o enfrentamento do jogo problemático, a proteção dos apostadores vulneráveis e a observância das regras relativas às ações de comunicação, de publicidade, de propaganda e de marketing, nos termos da Portaria SPA/MF nº 1.231, de 31 de julho de 2024;</w:t>
      </w:r>
    </w:p>
    <w:p>
      <w:r>
        <w:t>II - à vedação de participação em apostas de menores de dezoito anos, de pessoas inscritas no sistema centralizado de autoexclusão e das demais pessoas impedidas de apostar nos termos da legislação e da regulamentação específicas, adotando-se os procedimentos necessários para impedir o cadastro ou o uso dos sistemas de apostas por estas pessoas;</w:t>
      </w:r>
    </w:p>
    <w:p>
      <w:r>
        <w:t>III - à preservação da integridade esportiva e à prevenção e ao enfrentamento da manipulação de resultados, incluída a comunicação de apostas suspeitas às autoridades competentes, nos termos da Portaria MESP nº 109, de 11 de novembro de 2024, e da Política Nacional de Prevenção e Enfrentamento à Manipulação de Resultados Esportivos; e</w:t>
      </w:r>
    </w:p>
    <w:p>
      <w:r>
        <w:t>IV - à prevenção à lavagem de dinheiro, ao financiamento do terrorismo e à proliferação de armas de destruição em massa, com observância dos deveres previstos nos arts. 10 e 11 da Lei nº 9.613, de 3 de março de 1998, das políticas, dos procedimentos e dos controles internos de que trata a Portaria SPA/MF nº 1.143, de 11 de julho de 2024, e das obrigações de comunicação ao Sistema de Controle de Atividades Financeiras - Siscoaf.</w:t>
      </w:r>
    </w:p>
    <w:p>
      <w:r>
        <w:t>Art. 15. A Secretaria de Prêmios e Apostas publicará, em seu sítio eletrônico, lista atualizada das pessoas jurídicas autorizadas a explorar apostas de quota fixa nos termos desta Portaria, com indicação do prazo de vigência da autorização.</w:t>
      </w:r>
    </w:p>
    <w:p>
      <w:r>
        <w:t>Art. 16. Esta Portaria entra em vigor na data de sua publicação.</w:t>
      </w:r>
    </w:p>
    <w:p>
      <w:r>
        <w:t>DANIELE CORREA CARDOSO</w:t>
      </w:r>
    </w:p>
    <w:p>
      <w:pPr>
        <w:pStyle w:val="Heading2"/>
      </w:pPr>
      <w:r>
        <w:t>Portaria SE/MF Nº 2.626, DE 28 DE AGOSTO DE 2026</w:t>
      </w:r>
    </w:p>
    <w:p>
      <w:pPr>
        <w:pStyle w:val="ListBullet"/>
      </w:pPr>
      <w:r>
        <w:t>Ementa: Altera a Portaria SE/MF nº 1.782, de 17 de junho de 2026.</w:t>
      </w:r>
    </w:p>
    <w:p>
      <w:r>
        <w:t>Categoria: Ministério da Fazenda/Secretaria Executiva</w:t>
      </w:r>
    </w:p>
    <w:p>
      <w:r>
        <w:t>Página: 1</w:t>
      </w:r>
    </w:p>
    <w:p/>
    <w:p>
      <w:r>
        <w:t>Portaria SE/MF Nº 2.626, DE 28 DE AGOSTO DE 2026</w:t>
      </w:r>
    </w:p>
    <w:p>
      <w:r>
        <w:t>Altera a Portaria SE/MF nº 1.782, de 17 de junho de 2026.</w:t>
      </w:r>
    </w:p>
    <w:p>
      <w:r>
        <w:t>O SECRETÁRIO EXECUTIVO DO MINISTÉRIO DA FAZENDA, no uso das atribuições que lhe conferem os arts. 5º e parágrafo único, 6º, 7º e parágrafo único, 9º, 10 e parágrafo único, 14, 21 e 27-A, todos da Portaria MF nº 964, de 11 de junho de 2024, e tendo em vista o disposto no art. 36, § 2º, da Lei nº 14.995, de 10 de outubro de 2024, e na Resolução CMN nº 5.130, de 25 de abril de 2024, resolve:</w:t>
      </w:r>
    </w:p>
    <w:p>
      <w:r>
        <w:t>Art. 1º A Portaria SE/MF nº 1.782, de 17 de junho de 2026, passa a vigorar com as seguintes alterações:</w:t>
      </w:r>
    </w:p>
    <w:p>
      <w:r>
        <w:t>"O SECRETÁRIO EXECUTIVO DO MINISTÉRIO DA FAZENDA, no uso das atribuições que lhe conferem os arts. 5º e parágrafo único, 6º, 7º e parágrafo único, 9º, 10 e parágrafo único, 14, 21 e 27-A, todos da Portaria MF nº 964, de 11 de junho de 2024, e tendo em vista o disposto no art. 36, § 2º, da Lei nº 14.995, de 10 de outubro de 2024, e na Resolução CMN nº 5.130, de 25 de abril de 2024, resolve: (NR)</w:t>
      </w:r>
    </w:p>
    <w:p>
      <w:r>
        <w:t>Art. 3º ...................................................................................</w:t>
      </w:r>
    </w:p>
    <w:p>
      <w:r>
        <w:t>§ 1º .......................................................................................</w:t>
      </w:r>
    </w:p>
    <w:p>
      <w:r>
        <w:t>I - no âmbito dos Fundos de Inovação Eco Invest, as atividades relacionadas à validação, demonstração, desenvolvimento tecnológico e escalonamento de soluções inovadoras, com conteúdo tecnológico relevante e risco tecnológico associado, inclusive por meio de instrumentos de dívida conversível em participação societária, com Technology Readiness Level (TRL) indicativo de 1 a 7 ou Business Readiness Level (BRL) 3 a 7;</w:t>
      </w:r>
    </w:p>
    <w:p>
      <w:r>
        <w:t>II - no âmbito dos instrumentos de crédito corporativo, as atividades voltadas à adoção, integração produtiva, implantação e expansão de tecnologias já validadas, incluindo investimentos produtivos, industriais e de infraestrutura associada, com TRL indicativo de 8 a 9 ou BRL de 8 a 9; (NR)</w:t>
      </w:r>
    </w:p>
    <w:p>
      <w:r>
        <w:t>Art. 4º ...................................................................................</w:t>
      </w:r>
    </w:p>
    <w:p>
      <w:r>
        <w:t>................................................................................................</w:t>
      </w:r>
    </w:p>
    <w:p>
      <w:r>
        <w:t>§ 7º Na Cadeia de Beneficiamento de Minerais Críticos, Baterias e Mobilidade Elétrica de que trata o inciso IV do § 1º, a atividade de lavra somente será admitida quando desenvolvida em conjunto com o beneficiamento e, preferencialmente, a transformação mineral, e os recursos a ela alocados não poderão representar mais de 20% (vinte por cento) do valor total do projeto, observados os critérios e condições complementares estabelecidos no Manual Operacional.</w:t>
      </w:r>
    </w:p>
    <w:p>
      <w:r>
        <w:t>§ 8º Na Cadeia de Beneficiamento de Minerais Críticos, Baterias e Mobilidade Elétrica, a instituição financeira deverá assegurar percentual mínimo de aplicação em projetos de eletromobilidade de duas rodas, mobilidade elétrica leve e infraestrutura de recarga associada, em montante não inferior a 10% (dez por cento) da carteira consolidada de investimentos dos Fundos de Inovação Eco Invest vinculados à respectiva proposta e, separadamente, não inferior a 10% (dez por cento) da carteira consolidada de operações de crédito corporativo apoiadas no âmbito da mesma cadeia, conforme disposto no Manual Operacional. (NR)</w:t>
      </w:r>
    </w:p>
    <w:p>
      <w:r>
        <w:t>Art. 11. ................................................................................</w:t>
      </w:r>
    </w:p>
    <w:p>
      <w:r>
        <w:t>..............................................................................................</w:t>
      </w:r>
    </w:p>
    <w:p>
      <w:r>
        <w:t>§ 2º ......................................................................................</w:t>
      </w:r>
    </w:p>
    <w:p>
      <w:r>
        <w:t>I - dos Fundos de Inovação Eco Invest, os projetos deverão situar-se em estágios iniciais e intermediários de maturidade tecnológica e de mercado, compreendidos entre TRL 1 a 7 ou BRL 3 a 7, caracterizados por processos de validação, demonstração e escalonamento tecnológico, com mercados ainda em consolidação;</w:t>
      </w:r>
    </w:p>
    <w:p>
      <w:r>
        <w:t>II - dos instrumentos de crédito corporativo, os projetos deverão situar-se em estágios avançados de maturidade tecnológica e de mercado, compreendidos entre TRL 8 a 9 ou BRL 8 a 9, compatíveis com a implantação e operação em escala comercial; e</w:t>
      </w:r>
    </w:p>
    <w:p>
      <w:r>
        <w:t>III - do apoio não reembolsável, os projetos deverão situar-se em estágios iniciais e intermediários de maturidade científica e tecnológica, compreendidos entre SRL 3 a 6 ou TRL 1 a 4, voltados à pesquisa aplicada, formação de recursos humanos e empreendedorismo de base tecnológica. (NR)</w:t>
      </w:r>
    </w:p>
    <w:p>
      <w:r>
        <w:t>Art. 12-A. Sem prejuízo das vedações gerais de que trata o art. 4º da Portaria MF nº 964, de 2024, e das salvaguardas socioambientais previstas no art. 12 desta Portaria, cada cadeia produtiva elegível de que trata o art. 3º, § 2º, está sujeita a vedações e condições específicas adicionais, conforme disposto no Manual Operacional. (NR)</w:t>
      </w:r>
    </w:p>
    <w:p>
      <w:r>
        <w:t>Art. 15. ..............................................................................</w:t>
      </w:r>
    </w:p>
    <w:p>
      <w:r>
        <w:t>............................................................................................</w:t>
      </w:r>
    </w:p>
    <w:p>
      <w:r>
        <w:t>§ 14. A rentabilidade-alvo auferida pela instituição financeira sobre as cotas subscritas em classes ou subclasses dos Fundos de Inovação Eco Invest ficará limitada ao valor estabelecido no art. 3º, § 12, inciso V, da Resolução CMN nº 5.130, de 2024.</w:t>
      </w:r>
    </w:p>
    <w:p>
      <w:r>
        <w:t>§ 15. A disponibilização do capital catalítico aos Fundos de Inovação Eco Invest Brasil deverá ocorrer nos seguintes prazos:</w:t>
      </w:r>
    </w:p>
    <w:p>
      <w:r>
        <w:t>I - em até 12 (doze) meses, contados da data do primeiro recebimento de recursos do Leilão Eco Invest Brasil nº 5/2026, em relação às parcelas recebidas nesse período; e</w:t>
      </w:r>
    </w:p>
    <w:p>
      <w:r>
        <w:t>II - em até 10 (dez) dias úteis, contados da respectiva data de recebimento, para as parcelas recebidas após 12 (doze) meses da data do primeiro recebimento.</w:t>
      </w:r>
    </w:p>
    <w:p>
      <w:r>
        <w:t>§ 16. Na hipótese de a instituição financeira não efetuar a disponibilização dos recursos nos prazos previstos nos incisos I e II do § 15, os ganhos financeiros decorrentes da diferença entre a taxa do Sistema Especial de Liquidação e de Custódia - Selic e a rentabilidade prevista no § 14, incidentes sobre os valores não disponibilizados tempestivamente, deverão ser integralmente revertidos aos próprios Fundos de Inovação Eco Invest Brasil, na forma estabelecida no Manual Operacional. (NR)</w:t>
      </w:r>
    </w:p>
    <w:p>
      <w:r>
        <w:t>Art. 17. ...................................................................................</w:t>
      </w:r>
    </w:p>
    <w:p>
      <w:r>
        <w:t>.................................................................................................</w:t>
      </w:r>
    </w:p>
    <w:p>
      <w:r>
        <w:t>§ 4º Em até 90 (noventa) dias contados do recebimento do primeiro desembolso, a instituição financeira deverá submeter à aprovação do Comitê Executivo do Eco Invest Brasil plano inicial de execução da contrapartida, conforme detalhamento definido no Manual Operacional.</w:t>
      </w:r>
    </w:p>
    <w:p>
      <w:r>
        <w:t>.................................................................................................</w:t>
      </w:r>
    </w:p>
    <w:p>
      <w:r>
        <w:t>§ 12. Na hipótese de comprovada insuficiência de projetos de P,D&amp;I ou ações de fomento vinculados à cadeia produtiva elegível objeto da proposta vencedora, capazes de absorver integralmente os recursos da contrapartida de que trata o caput, o Comitê Executivo do Programa Eco Invest Brasil poderá autorizar, mediante justificativa apresentada pela instituição financeira, a aplicação do saldo remanescente em iniciativas aderentes aos objetivos de transformação ecológica, inovação e desenvolvimento tecnológico do Programa, ainda que vinculadas a cadeia produtiva distinta, observados os critérios e o procedimento estabelecidos no Manual Operacional. (NR)</w:t>
      </w:r>
    </w:p>
    <w:p>
      <w:r>
        <w:t>Art. 18. ..................................................................................</w:t>
      </w:r>
    </w:p>
    <w:p>
      <w:r>
        <w:t>................................................................................................</w:t>
      </w:r>
    </w:p>
    <w:p>
      <w:r>
        <w:t>§ 2° As instituições financeiras deverão observar os setores e plataformas temáticas previstos em sua proposta vencedora e, sempre que possível:</w:t>
      </w:r>
    </w:p>
    <w:p>
      <w:r>
        <w:t>I - estruturar operações que articulem mais de um mecanismo de incentivo; e</w:t>
      </w:r>
    </w:p>
    <w:p>
      <w:r>
        <w:t>II - promover sinergias entre projetos financiados, inclusive por meio da formação de portfólios tecnológicos.</w:t>
      </w:r>
    </w:p>
    <w:p>
      <w:r>
        <w:t>...............................................................................................</w:t>
      </w:r>
    </w:p>
    <w:p>
      <w:r>
        <w:t>§ 9° Para fins de aferição do disposto no § 8º, serão considerados, entre outros critérios:</w:t>
      </w:r>
    </w:p>
    <w:p>
      <w:r>
        <w:t>..........................................................................................</w:t>
      </w:r>
    </w:p>
    <w:p>
      <w:r>
        <w:t>§ 11. O não atendimento ao percentual mínimo exigido no § 8° para fins de concessão da carência estendida implicará na perda do benefício, com a aplicação automática do prazo regular de carência estabelecido no art. 30 desta Portaria, conforme disposto no Manual Operacional. (NR)</w:t>
      </w:r>
    </w:p>
    <w:p>
      <w:r>
        <w:t>Art. 18-A. Para cada cadeia produtiva contemplada no Leilão Eco Invest Brasil nº 5/2026, a instituição financeira deverá constituir um Conselho Consultivo, de natureza consultiva e não deliberativa, destinado a acompanhar a implementação das operações apoiadas pelos mecanismos de incentivo previstos nesta Portaria e a promover a articulação entre investidores, empresas, instituições de ciência e tecnologia e demais atores relevantes do ecossistema de inovação.</w:t>
      </w:r>
    </w:p>
    <w:p>
      <w:r>
        <w:t>§ 1º Os membros do Conselho Consultivo farão jus a remuneração, custeada pela instituição financeira; e</w:t>
      </w:r>
    </w:p>
    <w:p>
      <w:r>
        <w:t>§ 2º A composição, o mandato, o funcionamento e as competências do Conselho Consultivo serão disciplinados no Manual Operacional. (NR)</w:t>
      </w:r>
    </w:p>
    <w:p>
      <w:r>
        <w:t>Art. 21. ....................................................................................</w:t>
      </w:r>
    </w:p>
    <w:p>
      <w:r>
        <w:t>..................................................................................................</w:t>
      </w:r>
    </w:p>
    <w:p>
      <w:r>
        <w:t>§ 2° Caso a instituição financeira participante celebre instrumento contratual com o Fundo de Inovação Eco Invest que preveja mecanismo de participação nos ganhos decorrentes do desinvestimento, deverá destinar 20% (vinte por cento) da parcela dos ganhos a ela atribuíveis ao Programa Eco Invest Brasil, conforme art. 3º, § 12, inciso IX da Resolução CMN nº 5.130, de 2024 e nos termos do Manual Operacional.</w:t>
      </w:r>
    </w:p>
    <w:p>
      <w:r>
        <w:t>§ 3º Os Fundos de Inovação Eco Invest poderão, alternativamente à estruturação em classes ou subclasses de cotas de que tratam os incisos I e II do caput, ser constituídos como fundos individuais e distintos, podendo prever classes ou subclasses de cotas próprias, observadas as condições de segregação patrimonial, rastreabilidade e limitação de rentabilidade estabelecidas neste artigo e no Manual Operacional.</w:t>
      </w:r>
    </w:p>
    <w:p>
      <w:r>
        <w:t>§ 4º Os Fundos de Inovação Eco Invest poderão, ainda, ser estruturados como fundos de fundos, com classes ou subclasses de cotas próprias, observadas as condições de elegibilidade, segregação patrimonial, rastreabilidade e governança estabelecidas nesta Portaria e no Manual Operacional. (NR)</w:t>
      </w:r>
    </w:p>
    <w:p>
      <w:r>
        <w:t>Art. 22. .....................................................................................</w:t>
      </w:r>
    </w:p>
    <w:p>
      <w:r>
        <w:t>...................................................................................................</w:t>
      </w:r>
    </w:p>
    <w:p>
      <w:r>
        <w:t>§ 2º ...........................................................................................</w:t>
      </w:r>
    </w:p>
    <w:p>
      <w:r>
        <w:t>I - para o Fundo de Inovação Eco Invest será de R$ 1.500.000.000,00 (um bilhão e quinhentos milhões de reais), com alavancagem mínima de 1 (uma) vez e alavancagem máxima de 2 (duas) vezes o capital catalítico alocado ao instrumento, calculada com base na razão entre o montante de capital privado mobilizado, excluído o capital catalítico, e o valor do capital catalítico disponibilizado; e</w:t>
      </w:r>
    </w:p>
    <w:p>
      <w:r>
        <w:t>..................................................................................................</w:t>
      </w:r>
    </w:p>
    <w:p>
      <w:r>
        <w:t>§ 7º Na hipótese de inexistência de propostas válidas para determinada cadeia, poderá ser realizada, a critério da Secretaria-Executiva do Ministério da Fazenda, segunda rodada do leilão destinada à alocação dos recursos remanescentes, observadas as disposições desta Portaria e do respectivo Manual Operacional. (NR)</w:t>
      </w:r>
    </w:p>
    <w:p>
      <w:r>
        <w:t>Art. 25. .....................................................................................</w:t>
      </w:r>
    </w:p>
    <w:p>
      <w:r>
        <w:t>....................................................................................................</w:t>
      </w:r>
    </w:p>
    <w:p>
      <w:r>
        <w:t>§ 1º A aquisição de ativos estratégicos no exterior de que trata o inciso III do caput, inclusive de participações societárias, tecnologias ou empresas, fica limitada a 50% (cinquenta por cento) da carteira de investimentos do Fundo de Inovação Eco Invest, observados os critérios de comprovação da internalização, adaptação ou transferência de tecnologia estabelecidos no Manual Operacional.</w:t>
      </w:r>
    </w:p>
    <w:p>
      <w:r>
        <w:t>§ 2° Mediante justificativa técnica apresentada pela instituição financeira, o Comitê Executivo do Programa Eco Invest Brasil poderá autorizar a flexibilização do percentual de que trata o § 1º, observados os critérios e o procedimento estabelecidos no Manual Operacional. (NR)</w:t>
      </w:r>
    </w:p>
    <w:p>
      <w:r>
        <w:t>Art. 26. .....................................................................................</w:t>
      </w:r>
    </w:p>
    <w:p>
      <w:r>
        <w:t>...................................................................................................</w:t>
      </w:r>
    </w:p>
    <w:p>
      <w:r>
        <w:t>§ 1º A aquisição de ativos estratégicos no exterior de que trata o inciso IV do caput, inclusive de participações societárias, tecnologias ou empresas, fica limitada a 50% (cinquenta por cento) da carteira de operações de crédito corporativo da instituição financeira, observados os critérios de comprovação da internalização, adaptação ou transferência de tecnologia estabelecidos no Manual Operacional.</w:t>
      </w:r>
    </w:p>
    <w:p>
      <w:r>
        <w:t>§ 2° Mediante justificativa técnica apresentada pela instituição financeira, o Comitê Executivo do Programa Eco Invest Brasil poderá autorizar a flexibilização do percentual de que trata o § 1º, observados os critérios e o procedimento estabelecidos no Manual Operacional. (NR)</w:t>
      </w:r>
    </w:p>
    <w:p>
      <w:r>
        <w:t>Art. 29. ....................................................................................</w:t>
      </w:r>
    </w:p>
    <w:p>
      <w:r>
        <w:t>..................................................................................................</w:t>
      </w:r>
    </w:p>
    <w:p>
      <w:r>
        <w:t>§ 1º .........................................................................................</w:t>
      </w:r>
    </w:p>
    <w:p>
      <w:r>
        <w:t>..................................................................................................</w:t>
      </w:r>
    </w:p>
    <w:p>
      <w:r>
        <w:t>II - capacidade de estruturar e gerir fundos de investimento ou instrumentos equivalentes voltados à inovação, diretamente, por meio de subsidiária ou contratação de gestora especializada, hipóteses em que a instituição financeira permanecerá responsável pela supervisão da subsidiária ou gestora contratada e pelo cumprimento integral das obrigações previstas nesta Portaria; (NR)</w:t>
      </w:r>
    </w:p>
    <w:p>
      <w:r>
        <w:t>Art. 31. ...................................................................................</w:t>
      </w:r>
    </w:p>
    <w:p>
      <w:r>
        <w:t>.................................................................................................</w:t>
      </w:r>
    </w:p>
    <w:p>
      <w:r>
        <w:t>§ 3º Para fins de verificação do cumprimento do montante de recursos externos a que se refere o art. 22, § 5°, o valor em reais correspondente ao capital externo mobilizado pela Instituição Financeira será apurado com base na taxa de câmbio efetivamente utilizada na operação de internalização dos recursos.</w:t>
      </w:r>
    </w:p>
    <w:p>
      <w:r>
        <w:t>...............................................................................................</w:t>
      </w:r>
    </w:p>
    <w:p>
      <w:r>
        <w:t>§ 5º A devolução ou o não recebimento de recursos de que trata o § 4° no âmbito da linha destinada aos Fundos de Inovação Eco Invest implicará a devolução proporcional ou o não recebimento proporcional dos recursos no âmbito da linha de crédito corporativo, observada a manutenção do nível de alavancagem homologado no Leilão, nos termos estabelecidos no Manual Operacional.</w:t>
      </w:r>
    </w:p>
    <w:p>
      <w:r>
        <w:t>§ 6° Na hipótese de devolução ou de não recebimento de parcela de que trata o § 4º, a vinculação proporcional do § 5º aplica-se apenas até a parcela do inciso II do caput, não se estendendo à não solicitação ou à devolução da parcela do inciso III, observadas as demais condições do Manual Operacional. (NR)</w:t>
      </w:r>
    </w:p>
    <w:p>
      <w:r>
        <w:t>Art. 34. A instituição financeira interessada em acessar a Linha Eco Invest Brasil deverá apresentar ao Comitê Executivo do Eco Invest a seguinte documentação: (NR)</w:t>
      </w:r>
    </w:p>
    <w:p>
      <w:r>
        <w:t>Art. 37. ......................................................................................</w:t>
      </w:r>
    </w:p>
    <w:p>
      <w:r>
        <w:t>§ 1º ............................................................................................</w:t>
      </w:r>
    </w:p>
    <w:p>
      <w:r>
        <w:t>.....................................................................................................</w:t>
      </w:r>
    </w:p>
    <w:p>
      <w:r>
        <w:t>III - .............................................................................................</w:t>
      </w:r>
    </w:p>
    <w:p>
      <w:r>
        <w:t>....................................................................................................</w:t>
      </w:r>
    </w:p>
    <w:p>
      <w:r>
        <w:t>i) outras informações relacionadas ao alinhamento das operações apoiadas aos objetivos do Programa Eco Invest Brasil, conforme solicitação do Comitê Executivo do Eco Invest Brasil. (NR)</w:t>
      </w:r>
    </w:p>
    <w:p>
      <w:r>
        <w:t>Art. 42. A Secretaria Executiva do Eco Invest Brasil encaminhará o resultado final da alocação de recursos do Leilão Eco Invest Brasil nº 5/2026 - Fundos de Inovação Eco Invest para homologação do Comitê Executivo do Programa Eco Invest Brasil, em até trinta dias, contados do término do prazo a que se refere o art. 41. (NR)</w:t>
      </w:r>
    </w:p>
    <w:p>
      <w:r>
        <w:t>Art. 43. O resultado da seleção será divulgado no sítio eletrônico do Tesouro Nacional, na página do Programa Eco Invest Brasil, em até trinta dias, contados do término do prazo a que se refere o art. 42. (NR)"</w:t>
      </w:r>
    </w:p>
    <w:p>
      <w:r>
        <w:t>Art. 2º Esta Portaria entra em vigor na data de sua publicação.</w:t>
      </w:r>
    </w:p>
    <w:p>
      <w:r>
        <w:t>ROGÉRIO CERON DE OLIVEIRA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