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2026-10-09</w:t>
      </w:r>
    </w:p>
    <w:p>
      <w:r>
        <w:t>Filtros aplicados: Agência Nacional de Proteção de Dados, Banco Central do Brasil, Conselho Nacional de Previdência Complementar, Superintendência Nacional de Previdência Complementar, Superintendência de Seguros Privados</w:t>
      </w:r>
    </w:p>
    <w:p>
      <w:r>
        <w:t>Total de atos: 2</w:t>
      </w:r>
    </w:p>
    <w:p/>
    <w:p>
      <w:pPr>
        <w:pStyle w:val="Heading2"/>
      </w:pPr>
      <w:r>
        <w:t>PORTARIA CGCCR/SUSEP nº 49, de 7 de OUTUBRO de 2026</w:t>
      </w:r>
    </w:p>
    <w:p>
      <w:r>
        <w:t>Categoria: Ministério da Fazenda/Superintendência de Seguros Privados/Diretoria de Organização de Mercado e Regulação de Conduta/Coordenação-Geral de Credenciamentos, Cadastros e Regimes Especiais</w:t>
      </w:r>
    </w:p>
    <w:p>
      <w:r>
        <w:t>Página: 90</w:t>
      </w:r>
    </w:p>
    <w:p/>
    <w:p>
      <w:r>
        <w:t>PORTARIA CGCCR/SUSEP nº 49, de 7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15414.635968/2026-12,resolve:</w:t>
      </w:r>
    </w:p>
    <w:p>
      <w:r>
        <w:t>Art.1° Fica homologada a atualização cadastral anual de 2026 de GOTHAER ALLGEMEINE VERSICHERUNG AG, sociedade constituída e existente segundo as leis da Alemanha, cadastrada como resseguradora eventual, nos termos da Portaria Susep/Dirat nº 140, de 23 de março de 2015.</w:t>
      </w:r>
    </w:p>
    <w:p>
      <w:r>
        <w:t>Art. 2º Fica ratificado que o Sr. André Alarcon exerce a função de procurador da Resseguradora.</w:t>
      </w:r>
    </w:p>
    <w:p>
      <w:r>
        <w:t>Art. 3º Esta portaria entra em vigor na data de sua publicação.</w:t>
      </w:r>
    </w:p>
    <w:p>
      <w:r>
        <w:t>JONAS DOS SANTOS SOUSA</w:t>
      </w:r>
    </w:p>
    <w:p>
      <w:r>
        <w:br w:type="page"/>
      </w:r>
    </w:p>
    <w:p>
      <w:pPr>
        <w:pStyle w:val="Heading2"/>
      </w:pPr>
      <w:r>
        <w:t>RESOLUÇÃO BCB Nº 599, DE 8 DE OUTUBRO DE 2026</w:t>
      </w:r>
    </w:p>
    <w:p>
      <w:pPr>
        <w:pStyle w:val="ListBullet"/>
      </w:pPr>
      <w:r>
        <w:t>Ementa: Altera a Resolução BCB nº 277, de 31 de dezembro de 2022, que regulamenta o mercado de câmbio, para incluir código de classificação de finalidade de operação de câmbio.</w:t>
      </w:r>
    </w:p>
    <w:p>
      <w:r>
        <w:t>Categoria: Banco Central do Brasil/Diretoria Colegiada</w:t>
      </w:r>
    </w:p>
    <w:p>
      <w:r>
        <w:t>Página: 167</w:t>
      </w:r>
    </w:p>
    <w:p/>
    <w:p>
      <w:r>
        <w:t>RESOLUÇÃO BCB Nº 599, DE 8 DE OUTUBRO DE 2026</w:t>
      </w:r>
    </w:p>
    <w:p>
      <w:r>
        <w:t>Altera a Resolução BCB nº 277, de 31 de dezembro de 2022, que regulamenta o mercado de câmbio, para incluir código de classificação de finalidade de operação de câmbio.</w:t>
      </w:r>
    </w:p>
    <w:p>
      <w:r>
        <w:t>A Diretoria Colegiada do Banco Central do Brasil, em sessão realizada em 7 de outubro de 2026, com base no art. 9º da Lei nº 4.595, de 31 de dezembro de 1964, nos arts. 2º, 5º, caput, inciso I, 6º, 15 e 18 da Lei nº 14.286, de 29 de dezembro de 2021, no art. 7º, caput, inciso V, da Lei nº 14.478, de 21 de dezembro de 2022, no art. 1º do Decreto nº 11.563, de 13 de junho de 2023, e tendo em vista a Resolução CMN nº 5.042, de 25 de novembro de 2022, resolve:</w:t>
      </w:r>
    </w:p>
    <w:p>
      <w:r>
        <w:t>Art. 1º A tabela "Operações especiais" do Anexo V à Resolução BCB nº 277, de 31 de dezembro de 2022, publicada no Diário Oficial da União de 31 de dezembro de 2022, passa a vigorar conforme o anexo a esta Resolução.</w:t>
      </w:r>
    </w:p>
    <w:p>
      <w:r>
        <w:t>Art. 2º Esta Resolução entra em vigor na data de sua publicação.</w:t>
      </w:r>
    </w:p>
    <w:p>
      <w:r>
        <w:t>IZABELA MOREIRA CORREA</w:t>
      </w:r>
    </w:p>
    <w:p>
      <w:r>
        <w:t>Diretora de Regulação Substituta</w:t>
      </w:r>
    </w:p>
    <w:p>
      <w:r>
        <w:t>ANEXO</w:t>
      </w:r>
    </w:p>
    <w:p>
      <w:r>
        <w:t>"ANEXO V À RESOLUÇÃO BCB Nº 277, DE 31 DE DEZEMBRO DE 2022</w:t>
      </w:r>
    </w:p>
    <w:p>
      <w:r>
        <w:t>Códigos de classificação da finalidade para operação própria de instituição autorizada, para operação entre instituições autorizadas, para operação de instituição autorizada com prestador de eFX, para operação de instituição autorizada com o Banco Central do Brasil ou para operação especial. Inclui movimentação de conta de não residente, quando exigida.</w:t>
      </w:r>
    </w:p>
    <w:tbl>
      <w:tblPr>
        <w:tblW w:type="auto" w:w="0"/>
        <w:tblLook w:firstColumn="1" w:firstRow="1" w:lastColumn="0" w:lastRow="0" w:noHBand="0" w:noVBand="1" w:val="04A0"/>
      </w:tblPr>
      <w:tblGrid>
        <w:gridCol w:w="4320"/>
        <w:gridCol w:w="4320"/>
      </w:tblGrid>
      <w:tr>
        <w:tc>
          <w:tcPr>
            <w:tcW w:type="dxa" w:w="4320"/>
          </w:tcPr>
          <w:p/>
        </w:tc>
        <w:tc>
          <w:tcPr>
            <w:tcW w:type="dxa" w:w="4320"/>
          </w:tcPr>
          <w:p/>
        </w:tc>
      </w:tr>
      <w:tr>
        <w:tc>
          <w:tcPr>
            <w:tcW w:type="dxa" w:w="4320"/>
          </w:tcPr>
          <w:p>
            <w:r>
              <w:t>....................................................................................................</w:t>
            </w:r>
          </w:p>
        </w:tc>
        <w:tc>
          <w:tcPr>
            <w:tcW w:type="dxa" w:w="4320"/>
          </w:tcPr>
          <w:p>
            <w:r>
              <w:t>............</w:t>
            </w:r>
          </w:p>
        </w:tc>
      </w:tr>
      <w:tr>
        <w:tc>
          <w:tcPr>
            <w:tcW w:type="dxa" w:w="4320"/>
          </w:tcPr>
          <w:p>
            <w:r>
              <w:t>Operações especiais</w:t>
            </w:r>
          </w:p>
        </w:tc>
        <w:tc>
          <w:tcPr>
            <w:tcW w:type="dxa" w:w="4320"/>
          </w:tcPr>
          <w:p>
            <w:r/>
          </w:p>
        </w:tc>
      </w:tr>
      <w:tr>
        <w:tc>
          <w:tcPr>
            <w:tcW w:type="dxa" w:w="4320"/>
          </w:tcPr>
          <w:p>
            <w:r>
              <w:t>Agências de turismo e meios de hospedagem de turismo - operações com instituições autorizadas a operar em câmbio</w:t>
            </w:r>
          </w:p>
        </w:tc>
        <w:tc>
          <w:tcPr>
            <w:tcW w:type="dxa" w:w="4320"/>
          </w:tcPr>
          <w:p>
            <w:r>
              <w:t>33606</w:t>
            </w:r>
          </w:p>
        </w:tc>
      </w:tr>
      <w:tr>
        <w:tc>
          <w:tcPr>
            <w:tcW w:type="dxa" w:w="4320"/>
          </w:tcPr>
          <w:p>
            <w:r>
              <w:t>Vales e reembolsos postais internacionais</w:t>
            </w:r>
          </w:p>
        </w:tc>
        <w:tc>
          <w:tcPr>
            <w:tcW w:type="dxa" w:w="4320"/>
          </w:tcPr>
          <w:p>
            <w:r>
              <w:t>37097</w:t>
            </w:r>
          </w:p>
        </w:tc>
      </w:tr>
      <w:tr>
        <w:tc>
          <w:tcPr>
            <w:tcW w:type="dxa" w:w="4320"/>
          </w:tcPr>
          <w:p>
            <w:r>
              <w:t>Obrigações decorrentes do uso internacional de cartão ou de outro meio de pagamento eletrônico com transferência de ativos virtuais</w:t>
            </w:r>
          </w:p>
        </w:tc>
        <w:tc>
          <w:tcPr>
            <w:tcW w:type="dxa" w:w="4320"/>
          </w:tcPr>
          <w:p>
            <w:r>
              <w:t>34203</w:t>
            </w:r>
          </w:p>
        </w:tc>
      </w:tr>
      <w:tr>
        <w:tc>
          <w:tcPr>
            <w:tcW w:type="dxa" w:w="4320"/>
          </w:tcPr>
          <w:p>
            <w:r>
              <w:t>Ingressos de moeda estrangeira com valores em reais preestabelecidos no exterior para direcionamento dos recursos a pessoas naturais</w:t>
            </w:r>
          </w:p>
        </w:tc>
        <w:tc>
          <w:tcPr>
            <w:tcW w:type="dxa" w:w="4320"/>
          </w:tcPr>
          <w:p>
            <w:r>
              <w:t>37114</w:t>
            </w:r>
          </w:p>
        </w:tc>
      </w:tr>
      <w:tr>
        <w:tc>
          <w:tcPr>
            <w:tcW w:type="dxa" w:w="4320"/>
          </w:tcPr>
          <w:p>
            <w:r>
              <w:t>Operações com ouro-instrumento cambial</w:t>
            </w:r>
          </w:p>
        </w:tc>
        <w:tc>
          <w:tcPr>
            <w:tcW w:type="dxa" w:w="4320"/>
          </w:tcPr>
          <w:p>
            <w:r>
              <w:t>67933</w:t>
            </w:r>
          </w:p>
        </w:tc>
      </w:tr>
      <w:tr>
        <w:tc>
          <w:tcPr>
            <w:tcW w:type="dxa" w:w="4320"/>
          </w:tcPr>
          <w:p>
            <w:r>
              <w:t>Movimentações no país em contas em reais de não residentes em contrapartida a operações de câmbio</w:t>
            </w:r>
          </w:p>
        </w:tc>
        <w:tc>
          <w:tcPr>
            <w:tcW w:type="dxa" w:w="4320"/>
          </w:tcPr>
          <w:p>
            <w:r>
              <w:t>72612</w:t>
            </w:r>
          </w:p>
        </w:tc>
      </w:tr>
      <w:tr>
        <w:tc>
          <w:tcPr>
            <w:tcW w:type="dxa" w:w="4320"/>
          </w:tcPr>
          <w:p>
            <w:r>
              <w:t>Assunção de dívidas</w:t>
            </w:r>
          </w:p>
        </w:tc>
        <w:tc>
          <w:tcPr>
            <w:tcW w:type="dxa" w:w="4320"/>
          </w:tcPr>
          <w:p>
            <w:r>
              <w:t>99176</w:t>
            </w:r>
          </w:p>
        </w:tc>
      </w:tr>
      <w:tr>
        <w:tc>
          <w:tcPr>
            <w:tcW w:type="dxa" w:w="4320"/>
          </w:tcPr>
          <w:p>
            <w:r>
              <w:t>Pagamento da dívida externa para aplicação em projetos ambientais</w:t>
            </w:r>
          </w:p>
        </w:tc>
        <w:tc>
          <w:tcPr>
            <w:tcW w:type="dxa" w:w="4320"/>
          </w:tcPr>
          <w:p>
            <w:r>
              <w:t>99183</w:t>
            </w:r>
          </w:p>
        </w:tc>
      </w:tr>
      <w:tr>
        <w:tc>
          <w:tcPr>
            <w:tcW w:type="dxa" w:w="4320"/>
          </w:tcPr>
          <w:p>
            <w:r>
              <w:t>Outras</w:t>
            </w:r>
          </w:p>
        </w:tc>
        <w:tc>
          <w:tcPr>
            <w:tcW w:type="dxa" w:w="4320"/>
          </w:tcPr>
          <w:p>
            <w:r>
              <w:t>99200</w:t>
            </w:r>
          </w:p>
        </w:tc>
      </w:tr>
      <w:tr>
        <w:tc>
          <w:tcPr>
            <w:tcW w:type="dxa" w:w="4320"/>
          </w:tcPr>
          <w:p>
            <w:r>
              <w:t>Encadeamento Proex</w:t>
            </w:r>
          </w:p>
        </w:tc>
        <w:tc>
          <w:tcPr>
            <w:tcW w:type="dxa" w:w="4320"/>
          </w:tcPr>
          <w:p>
            <w:r>
              <w:t>99217</w:t>
            </w:r>
          </w:p>
        </w:tc>
      </w:tr>
      <w:tr>
        <w:tc>
          <w:tcPr>
            <w:tcW w:type="dxa" w:w="4320"/>
          </w:tcPr>
          <w:p>
            <w:r>
              <w:t>Encadeamento BNDES-Exim</w:t>
            </w:r>
          </w:p>
        </w:tc>
        <w:tc>
          <w:tcPr>
            <w:tcW w:type="dxa" w:w="4320"/>
          </w:tcPr>
          <w:p>
            <w:r>
              <w:t>99224</w:t>
            </w:r>
          </w:p>
        </w:tc>
      </w:tr>
      <w:tr>
        <w:tc>
          <w:tcPr>
            <w:tcW w:type="dxa" w:w="4320"/>
          </w:tcPr>
          <w:p>
            <w:r>
              <w:t>Alienação de moeda estrangeira apreendida</w:t>
            </w:r>
          </w:p>
        </w:tc>
        <w:tc>
          <w:tcPr>
            <w:tcW w:type="dxa" w:w="4320"/>
          </w:tcPr>
          <w:p>
            <w:r>
              <w:t>99303</w:t>
            </w:r>
          </w:p>
        </w:tc>
      </w:tr>
      <w:tr>
        <w:tc>
          <w:tcPr>
            <w:tcW w:type="dxa" w:w="4320"/>
          </w:tcPr>
          <w:p>
            <w:r>
              <w:t>Obrigações vinculadas a operações interbancárias e ajustes de posição decorrentes de ganhos ou perdas em aplicações financeiras no exterior</w:t>
            </w:r>
          </w:p>
        </w:tc>
        <w:tc>
          <w:tcPr>
            <w:tcW w:type="dxa" w:w="4320"/>
          </w:tcPr>
          <w:p>
            <w:r>
              <w:t>99509</w:t>
            </w:r>
          </w:p>
        </w:tc>
      </w:tr>
      <w:tr>
        <w:tc>
          <w:tcPr>
            <w:tcW w:type="dxa" w:w="4320"/>
          </w:tcPr>
          <w:p>
            <w:r>
              <w:t>Ajustes de posição decorrentes de compra ou venda de ativos virtuais com instituições do exterior</w:t>
            </w:r>
          </w:p>
        </w:tc>
        <w:tc>
          <w:tcPr>
            <w:tcW w:type="dxa" w:w="4320"/>
          </w:tcPr>
          <w:p>
            <w:r>
              <w:t>99516</w:t>
            </w:r>
          </w:p>
        </w:tc>
      </w:tr>
      <w:tr>
        <w:tc>
          <w:tcPr>
            <w:tcW w:type="dxa" w:w="4320"/>
          </w:tcPr>
          <w:p>
            <w:r>
              <w:t>Depósitos no Banco Central do Brasil</w:t>
            </w:r>
          </w:p>
        </w:tc>
        <w:tc>
          <w:tcPr>
            <w:tcW w:type="dxa" w:w="4320"/>
          </w:tcPr>
          <w:p>
            <w:r>
              <w:t>99671</w:t>
            </w:r>
          </w:p>
        </w:tc>
      </w:tr>
    </w:tbl>
    <w:p/>
    <w:p>
      <w:r>
        <w:t>....................................................................................................</w:t>
      </w:r>
    </w:p>
    <w:p>
      <w:r>
        <w:t>............</w:t>
      </w:r>
    </w:p>
    <w:p>
      <w:r>
        <w:t>Operações especiais</w:t>
      </w:r>
    </w:p>
    <w:p>
      <w:r>
        <w:t>Agências de turismo e meios de hospedagem de turismo - operações com instituições autorizadas a operar em câmbio</w:t>
      </w:r>
    </w:p>
    <w:p>
      <w:r>
        <w:t>33606</w:t>
      </w:r>
    </w:p>
    <w:p>
      <w:r>
        <w:t>Vales e reembolsos postais internacionais</w:t>
      </w:r>
    </w:p>
    <w:p>
      <w:r>
        <w:t>37097</w:t>
      </w:r>
    </w:p>
    <w:p>
      <w:r>
        <w:t>Obrigações decorrentes do uso internacional de cartão ou de outro meio de pagamento eletrônico com transferência de ativos virtuais</w:t>
      </w:r>
    </w:p>
    <w:p>
      <w:r>
        <w:t>34203</w:t>
      </w:r>
    </w:p>
    <w:p>
      <w:r>
        <w:t>Ingressos de moeda estrangeira com valores em reais preestabelecidos no exterior para direcionamento dos recursos a pessoas naturais</w:t>
      </w:r>
    </w:p>
    <w:p>
      <w:r>
        <w:t>37114</w:t>
      </w:r>
    </w:p>
    <w:p>
      <w:r>
        <w:t>Operações com ouro-instrumento cambial</w:t>
      </w:r>
    </w:p>
    <w:p>
      <w:r>
        <w:t>67933</w:t>
      </w:r>
    </w:p>
    <w:p>
      <w:r>
        <w:t>Movimentações no país em contas em reais de não residentes em contrapartida a operações de câmbio</w:t>
      </w:r>
    </w:p>
    <w:p>
      <w:r>
        <w:t>72612</w:t>
      </w:r>
    </w:p>
    <w:p>
      <w:r>
        <w:t>Assunção de dívidas</w:t>
      </w:r>
    </w:p>
    <w:p>
      <w:r>
        <w:t>99176</w:t>
      </w:r>
    </w:p>
    <w:p>
      <w:r>
        <w:t>Pagamento da dívida externa para aplicação em projetos ambientais</w:t>
      </w:r>
    </w:p>
    <w:p>
      <w:r>
        <w:t>99183</w:t>
      </w:r>
    </w:p>
    <w:p>
      <w:r>
        <w:t>Outras</w:t>
      </w:r>
    </w:p>
    <w:p>
      <w:r>
        <w:t>99200</w:t>
      </w:r>
    </w:p>
    <w:p>
      <w:r>
        <w:t>Encadeamento Proex</w:t>
      </w:r>
    </w:p>
    <w:p>
      <w:r>
        <w:t>99217</w:t>
      </w:r>
    </w:p>
    <w:p>
      <w:r>
        <w:t>Encadeamento BNDES-Exim</w:t>
      </w:r>
    </w:p>
    <w:p>
      <w:r>
        <w:t>99224</w:t>
      </w:r>
    </w:p>
    <w:p>
      <w:r>
        <w:t>Alienação de moeda estrangeira apreendida</w:t>
      </w:r>
    </w:p>
    <w:p>
      <w:r>
        <w:t>99303</w:t>
      </w:r>
    </w:p>
    <w:p>
      <w:r>
        <w:t>Obrigações vinculadas a operações interbancárias e ajustes de posição decorrentes de ganhos ou perdas em aplicações financeiras no exterior</w:t>
      </w:r>
    </w:p>
    <w:p>
      <w:r>
        <w:t>99509</w:t>
      </w:r>
    </w:p>
    <w:p>
      <w:r>
        <w:t>Ajustes de posição decorrentes de compra ou venda de ativos virtuais com instituições do exterior</w:t>
      </w:r>
    </w:p>
    <w:p>
      <w:r>
        <w:t>99516</w:t>
      </w:r>
    </w:p>
    <w:p>
      <w:r>
        <w:t>Depósitos no Banco Central do Brasil</w:t>
      </w:r>
    </w:p>
    <w:p>
      <w:r>
        <w:t>99671</w:t>
      </w:r>
    </w:p>
    <w:p>
      <w:r>
        <w:t>" (NR)</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